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31F0A" w14:textId="29B92AD9" w:rsidR="005543DE" w:rsidRPr="005912D6" w:rsidRDefault="00A4138B" w:rsidP="00A4138B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5912D6">
        <w:rPr>
          <w:rFonts w:ascii="Arial" w:hAnsi="Arial" w:cs="Arial"/>
          <w:b/>
        </w:rPr>
        <w:t>Záznam z rokovania pracovnej skupiny „verejné obstarávanie IKT“ uskutočnen</w:t>
      </w:r>
      <w:r w:rsidR="008563B2" w:rsidRPr="005912D6">
        <w:rPr>
          <w:rFonts w:ascii="Arial" w:hAnsi="Arial" w:cs="Arial"/>
          <w:b/>
        </w:rPr>
        <w:t>ého</w:t>
      </w:r>
      <w:r w:rsidRPr="005912D6">
        <w:rPr>
          <w:rFonts w:ascii="Arial" w:hAnsi="Arial" w:cs="Arial"/>
          <w:b/>
        </w:rPr>
        <w:t xml:space="preserve"> dňa (14.10. 2020) o 10.</w:t>
      </w:r>
      <w:r w:rsidR="005912D6">
        <w:rPr>
          <w:rFonts w:ascii="Arial" w:hAnsi="Arial" w:cs="Arial"/>
          <w:b/>
        </w:rPr>
        <w:t>00</w:t>
      </w:r>
      <w:r w:rsidRPr="005912D6">
        <w:rPr>
          <w:rFonts w:ascii="Arial" w:hAnsi="Arial" w:cs="Arial"/>
          <w:b/>
        </w:rPr>
        <w:t xml:space="preserve"> hodine prostredníctvom použitia aplikácie MS Teams.</w:t>
      </w:r>
    </w:p>
    <w:p w14:paraId="7B7A93B4" w14:textId="77777777" w:rsidR="00A4138B" w:rsidRPr="005912D6" w:rsidRDefault="00A4138B" w:rsidP="00A4138B">
      <w:pPr>
        <w:jc w:val="center"/>
        <w:rPr>
          <w:rFonts w:ascii="Arial" w:hAnsi="Arial" w:cs="Arial"/>
          <w:b/>
        </w:rPr>
      </w:pPr>
    </w:p>
    <w:p w14:paraId="28814EC3" w14:textId="6FFC1982" w:rsidR="00A4138B" w:rsidRPr="005912D6" w:rsidRDefault="00A4138B" w:rsidP="001F02FE">
      <w:pPr>
        <w:pStyle w:val="Odsekzoznamu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</w:rPr>
      </w:pPr>
      <w:r w:rsidRPr="005912D6">
        <w:rPr>
          <w:rFonts w:ascii="Arial" w:hAnsi="Arial" w:cs="Arial"/>
        </w:rPr>
        <w:t xml:space="preserve">Predseda pracovnej skupiny „verejné obstarávanie IKT“ Kristian Hodossy privítal účastníkov rokovania pracovnej skupiny, pričom v prvom kroku overil prítomnosť členov pracovnej skupiny. Predseda pracovnej skupiny konštatoval vo vzťahu k prezencii účastníkov nasledovné: </w:t>
      </w:r>
    </w:p>
    <w:p w14:paraId="4EBB53AE" w14:textId="77777777" w:rsidR="001F02FE" w:rsidRPr="005912D6" w:rsidRDefault="001F02FE" w:rsidP="001F02FE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  <w:b/>
        </w:rPr>
      </w:pPr>
    </w:p>
    <w:p w14:paraId="2BAE0A1D" w14:textId="158B5025" w:rsidR="00A4138B" w:rsidRPr="00384160" w:rsidRDefault="00A4138B" w:rsidP="00384160">
      <w:pPr>
        <w:jc w:val="both"/>
        <w:rPr>
          <w:rFonts w:ascii="Arial" w:hAnsi="Arial" w:cs="Arial"/>
          <w:b/>
        </w:rPr>
      </w:pPr>
      <w:r w:rsidRPr="00384160">
        <w:rPr>
          <w:rFonts w:ascii="Arial" w:hAnsi="Arial" w:cs="Arial"/>
        </w:rPr>
        <w:t xml:space="preserve">Prítomní: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A5511D" w:rsidRPr="005912D6" w14:paraId="56F0A55C" w14:textId="77777777" w:rsidTr="00A5511D">
        <w:tc>
          <w:tcPr>
            <w:tcW w:w="4531" w:type="dxa"/>
          </w:tcPr>
          <w:p w14:paraId="4EC6B833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MIRRI</w:t>
            </w:r>
          </w:p>
        </w:tc>
        <w:tc>
          <w:tcPr>
            <w:tcW w:w="4531" w:type="dxa"/>
          </w:tcPr>
          <w:p w14:paraId="3895692D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Hodossy, Bezek, - prizvaný Hladík, Dzurus</w:t>
            </w:r>
          </w:p>
        </w:tc>
      </w:tr>
      <w:tr w:rsidR="00A5511D" w:rsidRPr="005912D6" w14:paraId="3272CD0F" w14:textId="77777777" w:rsidTr="00A5511D">
        <w:tc>
          <w:tcPr>
            <w:tcW w:w="4531" w:type="dxa"/>
          </w:tcPr>
          <w:p w14:paraId="6904953C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ÚVO</w:t>
            </w:r>
          </w:p>
        </w:tc>
        <w:tc>
          <w:tcPr>
            <w:tcW w:w="4531" w:type="dxa"/>
          </w:tcPr>
          <w:p w14:paraId="6FDDFE54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 xml:space="preserve">Kramár, Majchrák </w:t>
            </w:r>
          </w:p>
        </w:tc>
      </w:tr>
      <w:tr w:rsidR="00A5511D" w:rsidRPr="005912D6" w14:paraId="45C2A4BF" w14:textId="77777777" w:rsidTr="00A5511D">
        <w:tc>
          <w:tcPr>
            <w:tcW w:w="4531" w:type="dxa"/>
          </w:tcPr>
          <w:p w14:paraId="79318BB1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MKSR</w:t>
            </w:r>
          </w:p>
        </w:tc>
        <w:tc>
          <w:tcPr>
            <w:tcW w:w="4531" w:type="dxa"/>
          </w:tcPr>
          <w:p w14:paraId="7CC8FDEF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Machel</w:t>
            </w:r>
          </w:p>
        </w:tc>
      </w:tr>
      <w:tr w:rsidR="00A5511D" w:rsidRPr="005912D6" w14:paraId="41B2C60B" w14:textId="77777777" w:rsidTr="00A5511D">
        <w:tc>
          <w:tcPr>
            <w:tcW w:w="4531" w:type="dxa"/>
          </w:tcPr>
          <w:p w14:paraId="57371504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MŠVVaŠ SR</w:t>
            </w:r>
          </w:p>
        </w:tc>
        <w:tc>
          <w:tcPr>
            <w:tcW w:w="4531" w:type="dxa"/>
          </w:tcPr>
          <w:p w14:paraId="772E2E4A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Charvát</w:t>
            </w:r>
          </w:p>
        </w:tc>
      </w:tr>
      <w:tr w:rsidR="00A5511D" w:rsidRPr="005912D6" w14:paraId="184763DE" w14:textId="77777777" w:rsidTr="00A5511D">
        <w:tc>
          <w:tcPr>
            <w:tcW w:w="4531" w:type="dxa"/>
          </w:tcPr>
          <w:p w14:paraId="026462E6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 xml:space="preserve">MVSR </w:t>
            </w:r>
          </w:p>
        </w:tc>
        <w:tc>
          <w:tcPr>
            <w:tcW w:w="4531" w:type="dxa"/>
          </w:tcPr>
          <w:p w14:paraId="6032CF4B" w14:textId="29EB3DDC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Kubinec</w:t>
            </w:r>
            <w:r w:rsidR="00DB74AC" w:rsidRPr="005912D6">
              <w:rPr>
                <w:rFonts w:ascii="Arial" w:hAnsi="Arial" w:cs="Arial"/>
              </w:rPr>
              <w:t>, Raučina</w:t>
            </w:r>
          </w:p>
        </w:tc>
      </w:tr>
      <w:tr w:rsidR="00A5511D" w:rsidRPr="005912D6" w14:paraId="4691A037" w14:textId="77777777" w:rsidTr="00A5511D">
        <w:tc>
          <w:tcPr>
            <w:tcW w:w="4531" w:type="dxa"/>
          </w:tcPr>
          <w:p w14:paraId="05CEEA2F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MDaV SR</w:t>
            </w:r>
          </w:p>
        </w:tc>
        <w:tc>
          <w:tcPr>
            <w:tcW w:w="4531" w:type="dxa"/>
          </w:tcPr>
          <w:p w14:paraId="6DFAB8D4" w14:textId="37129E28" w:rsidR="00A5511D" w:rsidRPr="005912D6" w:rsidRDefault="008563B2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Hübner</w:t>
            </w:r>
            <w:r w:rsidR="00A5511D" w:rsidRPr="005912D6">
              <w:rPr>
                <w:rFonts w:ascii="Arial" w:hAnsi="Arial" w:cs="Arial"/>
              </w:rPr>
              <w:t xml:space="preserve"> – ospravedlnil sa</w:t>
            </w:r>
          </w:p>
        </w:tc>
      </w:tr>
      <w:tr w:rsidR="00A5511D" w:rsidRPr="005912D6" w14:paraId="2133FFB3" w14:textId="77777777" w:rsidTr="00A5511D">
        <w:tc>
          <w:tcPr>
            <w:tcW w:w="4531" w:type="dxa"/>
          </w:tcPr>
          <w:p w14:paraId="5BBC39EB" w14:textId="525862C6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Slovensko</w:t>
            </w:r>
            <w:r w:rsidR="00B210ED" w:rsidRPr="005912D6">
              <w:rPr>
                <w:rFonts w:ascii="Arial" w:hAnsi="Arial" w:cs="Arial"/>
              </w:rPr>
              <w:t>.</w:t>
            </w:r>
            <w:r w:rsidRPr="005912D6">
              <w:rPr>
                <w:rFonts w:ascii="Arial" w:hAnsi="Arial" w:cs="Arial"/>
              </w:rPr>
              <w:t>Digital</w:t>
            </w:r>
          </w:p>
        </w:tc>
        <w:tc>
          <w:tcPr>
            <w:tcW w:w="4531" w:type="dxa"/>
          </w:tcPr>
          <w:p w14:paraId="5F06C157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Kulich</w:t>
            </w:r>
          </w:p>
        </w:tc>
      </w:tr>
      <w:tr w:rsidR="00A5511D" w:rsidRPr="005912D6" w14:paraId="31852BCD" w14:textId="77777777" w:rsidTr="00A5511D">
        <w:tc>
          <w:tcPr>
            <w:tcW w:w="4531" w:type="dxa"/>
          </w:tcPr>
          <w:p w14:paraId="62E52861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ŠÚSR</w:t>
            </w:r>
          </w:p>
        </w:tc>
        <w:tc>
          <w:tcPr>
            <w:tcW w:w="4531" w:type="dxa"/>
          </w:tcPr>
          <w:p w14:paraId="0C4AED7A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Vadovič</w:t>
            </w:r>
          </w:p>
        </w:tc>
      </w:tr>
      <w:tr w:rsidR="00A5511D" w:rsidRPr="005912D6" w14:paraId="6EAE31D5" w14:textId="77777777" w:rsidTr="00A5511D">
        <w:tc>
          <w:tcPr>
            <w:tcW w:w="4531" w:type="dxa"/>
          </w:tcPr>
          <w:p w14:paraId="5CEE2014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MHSR</w:t>
            </w:r>
          </w:p>
        </w:tc>
        <w:tc>
          <w:tcPr>
            <w:tcW w:w="4531" w:type="dxa"/>
          </w:tcPr>
          <w:p w14:paraId="3651797B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Daniš</w:t>
            </w:r>
          </w:p>
        </w:tc>
      </w:tr>
      <w:tr w:rsidR="00A5511D" w:rsidRPr="005912D6" w14:paraId="1A9BFF54" w14:textId="77777777" w:rsidTr="00A5511D">
        <w:tc>
          <w:tcPr>
            <w:tcW w:w="4531" w:type="dxa"/>
          </w:tcPr>
          <w:p w14:paraId="2BBAA387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MZSR/NCZI</w:t>
            </w:r>
          </w:p>
        </w:tc>
        <w:tc>
          <w:tcPr>
            <w:tcW w:w="4531" w:type="dxa"/>
          </w:tcPr>
          <w:p w14:paraId="3220424B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Kavčiaková</w:t>
            </w:r>
          </w:p>
        </w:tc>
      </w:tr>
      <w:tr w:rsidR="00A5511D" w:rsidRPr="005912D6" w14:paraId="580E80F9" w14:textId="77777777" w:rsidTr="00A5511D">
        <w:tc>
          <w:tcPr>
            <w:tcW w:w="4531" w:type="dxa"/>
          </w:tcPr>
          <w:p w14:paraId="6D9F0950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PMÚSR</w:t>
            </w:r>
          </w:p>
        </w:tc>
        <w:tc>
          <w:tcPr>
            <w:tcW w:w="4531" w:type="dxa"/>
          </w:tcPr>
          <w:p w14:paraId="09352D10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Ondruš</w:t>
            </w:r>
          </w:p>
        </w:tc>
      </w:tr>
      <w:tr w:rsidR="00A5511D" w:rsidRPr="005912D6" w14:paraId="092AAECB" w14:textId="77777777" w:rsidTr="00A5511D">
        <w:tc>
          <w:tcPr>
            <w:tcW w:w="4531" w:type="dxa"/>
          </w:tcPr>
          <w:p w14:paraId="3F76B935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NBU SR</w:t>
            </w:r>
          </w:p>
        </w:tc>
        <w:tc>
          <w:tcPr>
            <w:tcW w:w="4531" w:type="dxa"/>
          </w:tcPr>
          <w:p w14:paraId="48ABFD8C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Italy</w:t>
            </w:r>
          </w:p>
        </w:tc>
      </w:tr>
      <w:tr w:rsidR="00A5511D" w:rsidRPr="005912D6" w14:paraId="166D6FC0" w14:textId="77777777" w:rsidTr="00A5511D">
        <w:tc>
          <w:tcPr>
            <w:tcW w:w="4531" w:type="dxa"/>
          </w:tcPr>
          <w:p w14:paraId="4580476F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 xml:space="preserve">NASES </w:t>
            </w:r>
          </w:p>
        </w:tc>
        <w:tc>
          <w:tcPr>
            <w:tcW w:w="4531" w:type="dxa"/>
          </w:tcPr>
          <w:p w14:paraId="6541552C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Švantner</w:t>
            </w:r>
          </w:p>
        </w:tc>
      </w:tr>
      <w:tr w:rsidR="00A5511D" w:rsidRPr="005912D6" w14:paraId="4FFEA010" w14:textId="77777777" w:rsidTr="00A5511D">
        <w:tc>
          <w:tcPr>
            <w:tcW w:w="4531" w:type="dxa"/>
          </w:tcPr>
          <w:p w14:paraId="7F64C867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MŽP SR</w:t>
            </w:r>
          </w:p>
        </w:tc>
        <w:tc>
          <w:tcPr>
            <w:tcW w:w="4531" w:type="dxa"/>
          </w:tcPr>
          <w:p w14:paraId="58690556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Németh</w:t>
            </w:r>
          </w:p>
        </w:tc>
      </w:tr>
      <w:tr w:rsidR="00A5511D" w:rsidRPr="005912D6" w14:paraId="74009ABF" w14:textId="77777777" w:rsidTr="00A5511D">
        <w:tc>
          <w:tcPr>
            <w:tcW w:w="4531" w:type="dxa"/>
          </w:tcPr>
          <w:p w14:paraId="764F6E42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MSSR</w:t>
            </w:r>
          </w:p>
        </w:tc>
        <w:tc>
          <w:tcPr>
            <w:tcW w:w="4531" w:type="dxa"/>
          </w:tcPr>
          <w:p w14:paraId="6045E21F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Hušek, Jurčíkova</w:t>
            </w:r>
          </w:p>
        </w:tc>
      </w:tr>
      <w:tr w:rsidR="00A5511D" w:rsidRPr="005912D6" w14:paraId="42C96D92" w14:textId="77777777" w:rsidTr="00A5511D">
        <w:tc>
          <w:tcPr>
            <w:tcW w:w="4531" w:type="dxa"/>
          </w:tcPr>
          <w:p w14:paraId="563D8945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PPP</w:t>
            </w:r>
          </w:p>
        </w:tc>
        <w:tc>
          <w:tcPr>
            <w:tcW w:w="4531" w:type="dxa"/>
          </w:tcPr>
          <w:p w14:paraId="11C80DE3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Nechala</w:t>
            </w:r>
          </w:p>
        </w:tc>
      </w:tr>
      <w:tr w:rsidR="00A5511D" w:rsidRPr="005912D6" w14:paraId="52919F2F" w14:textId="77777777" w:rsidTr="00A5511D">
        <w:tc>
          <w:tcPr>
            <w:tcW w:w="4531" w:type="dxa"/>
          </w:tcPr>
          <w:p w14:paraId="447D450B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ITAS</w:t>
            </w:r>
          </w:p>
        </w:tc>
        <w:tc>
          <w:tcPr>
            <w:tcW w:w="4531" w:type="dxa"/>
          </w:tcPr>
          <w:p w14:paraId="14CE8A05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Marek</w:t>
            </w:r>
          </w:p>
        </w:tc>
      </w:tr>
      <w:tr w:rsidR="00A5511D" w:rsidRPr="005912D6" w14:paraId="73D218D4" w14:textId="77777777" w:rsidTr="00A5511D">
        <w:tc>
          <w:tcPr>
            <w:tcW w:w="4531" w:type="dxa"/>
          </w:tcPr>
          <w:p w14:paraId="37949ED9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MZVaEZ SR</w:t>
            </w:r>
          </w:p>
        </w:tc>
        <w:tc>
          <w:tcPr>
            <w:tcW w:w="4531" w:type="dxa"/>
          </w:tcPr>
          <w:p w14:paraId="5B9EBD54" w14:textId="77777777" w:rsidR="00A5511D" w:rsidRPr="005912D6" w:rsidRDefault="006A5898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Gajdošová</w:t>
            </w:r>
          </w:p>
        </w:tc>
      </w:tr>
      <w:tr w:rsidR="00A5511D" w:rsidRPr="005912D6" w14:paraId="500480D4" w14:textId="77777777" w:rsidTr="00A5511D">
        <w:tc>
          <w:tcPr>
            <w:tcW w:w="4531" w:type="dxa"/>
          </w:tcPr>
          <w:p w14:paraId="5E0F6AA2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07ABF2B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</w:p>
        </w:tc>
      </w:tr>
      <w:tr w:rsidR="00A5511D" w:rsidRPr="005912D6" w14:paraId="0948086C" w14:textId="77777777" w:rsidTr="00A5511D">
        <w:tc>
          <w:tcPr>
            <w:tcW w:w="4531" w:type="dxa"/>
          </w:tcPr>
          <w:p w14:paraId="57CF254C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40D6BE1C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5511D" w:rsidRPr="005912D6" w14:paraId="28F8D3B5" w14:textId="77777777" w:rsidTr="00A5511D">
        <w:tc>
          <w:tcPr>
            <w:tcW w:w="4531" w:type="dxa"/>
          </w:tcPr>
          <w:p w14:paraId="2B77DF51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30BEF63A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5511D" w:rsidRPr="005912D6" w14:paraId="57AE26EB" w14:textId="77777777" w:rsidTr="00A5511D">
        <w:tc>
          <w:tcPr>
            <w:tcW w:w="4531" w:type="dxa"/>
          </w:tcPr>
          <w:p w14:paraId="6CDE88EA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303761C2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5511D" w:rsidRPr="005912D6" w14:paraId="0D144BB2" w14:textId="77777777" w:rsidTr="00A5511D">
        <w:tc>
          <w:tcPr>
            <w:tcW w:w="4531" w:type="dxa"/>
          </w:tcPr>
          <w:p w14:paraId="4F17DE3C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61B58DF8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5511D" w:rsidRPr="005912D6" w14:paraId="5DE3DC36" w14:textId="77777777" w:rsidTr="00A5511D">
        <w:tc>
          <w:tcPr>
            <w:tcW w:w="4531" w:type="dxa"/>
          </w:tcPr>
          <w:p w14:paraId="5EA8B504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093553FE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5511D" w:rsidRPr="005912D6" w14:paraId="37720A04" w14:textId="77777777" w:rsidTr="00A5511D">
        <w:tc>
          <w:tcPr>
            <w:tcW w:w="4531" w:type="dxa"/>
          </w:tcPr>
          <w:p w14:paraId="0983F284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25FB5ED6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384160" w:rsidRPr="005912D6" w14:paraId="21549FFE" w14:textId="77777777" w:rsidTr="00A5511D">
        <w:tc>
          <w:tcPr>
            <w:tcW w:w="4531" w:type="dxa"/>
          </w:tcPr>
          <w:p w14:paraId="288A1D53" w14:textId="77777777" w:rsidR="00384160" w:rsidRPr="005912D6" w:rsidRDefault="00384160" w:rsidP="00A551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5593C760" w14:textId="77777777" w:rsidR="00384160" w:rsidRPr="005912D6" w:rsidRDefault="00384160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7F65218" w14:textId="77777777" w:rsidR="00384160" w:rsidRDefault="00384160" w:rsidP="00A5511D">
      <w:pPr>
        <w:jc w:val="both"/>
        <w:rPr>
          <w:rFonts w:ascii="Arial" w:hAnsi="Arial" w:cs="Arial"/>
        </w:rPr>
      </w:pPr>
    </w:p>
    <w:p w14:paraId="2CF6FFDD" w14:textId="333FF713" w:rsidR="00873216" w:rsidRPr="005912D6" w:rsidRDefault="00065803" w:rsidP="00A5511D">
      <w:pPr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Po návrhu Slovensk</w:t>
      </w:r>
      <w:r w:rsidR="00B210ED" w:rsidRPr="005912D6">
        <w:rPr>
          <w:rFonts w:ascii="Arial" w:hAnsi="Arial" w:cs="Arial"/>
        </w:rPr>
        <w:t>o.D</w:t>
      </w:r>
      <w:r w:rsidRPr="005912D6">
        <w:rPr>
          <w:rFonts w:ascii="Arial" w:hAnsi="Arial" w:cs="Arial"/>
        </w:rPr>
        <w:t xml:space="preserve">igital, sa predseda pracovnej skupiny stotožnil s návrhom, že členom bude zaslaný zoznam prioritných tém, pričom členovia pracovnej skupiny budú môcť participovať na ktorejkoľvek z uvedených tém ako aj navrhnúť tému, ktorú z ich pohľadu považujú za prioritnú. </w:t>
      </w:r>
    </w:p>
    <w:p w14:paraId="1AC294E8" w14:textId="4D02633D" w:rsidR="00873216" w:rsidRPr="005912D6" w:rsidRDefault="00873216" w:rsidP="00693ED0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Predseda pracovnej skupiny predstavil najdôležitejšie témy z pohľadu MIRR</w:t>
      </w:r>
      <w:r w:rsidR="002F6D92" w:rsidRPr="005912D6">
        <w:rPr>
          <w:rFonts w:ascii="Arial" w:hAnsi="Arial" w:cs="Arial"/>
        </w:rPr>
        <w:t>I</w:t>
      </w:r>
      <w:r w:rsidRPr="005912D6">
        <w:rPr>
          <w:rFonts w:ascii="Arial" w:hAnsi="Arial" w:cs="Arial"/>
        </w:rPr>
        <w:t xml:space="preserve"> v súlade so zoznamom tém, ktoré boli členom pracovnej skupiny zaslané. Predseda pracovnej skupiny identifikoval nasledovné témy z pohľadu</w:t>
      </w:r>
      <w:r w:rsidR="008563B2" w:rsidRPr="005912D6">
        <w:rPr>
          <w:rFonts w:ascii="Arial" w:hAnsi="Arial" w:cs="Arial"/>
        </w:rPr>
        <w:t xml:space="preserve"> MIRRI za prioritu:</w:t>
      </w:r>
    </w:p>
    <w:p w14:paraId="35D75708" w14:textId="77777777" w:rsidR="00065803" w:rsidRPr="005912D6" w:rsidRDefault="00065803" w:rsidP="00065803">
      <w:pPr>
        <w:pStyle w:val="Odsekzoznamu"/>
        <w:ind w:left="426"/>
        <w:jc w:val="both"/>
        <w:rPr>
          <w:rFonts w:ascii="Arial" w:hAnsi="Arial" w:cs="Arial"/>
        </w:rPr>
      </w:pPr>
    </w:p>
    <w:p w14:paraId="2132A413" w14:textId="77777777" w:rsidR="00873216" w:rsidRPr="005912D6" w:rsidRDefault="00873216" w:rsidP="00873216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Vzorové zmluvy </w:t>
      </w:r>
    </w:p>
    <w:p w14:paraId="2ECD4266" w14:textId="77777777" w:rsidR="00873216" w:rsidRPr="005912D6" w:rsidRDefault="00873216" w:rsidP="00873216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Ekvivalent</w:t>
      </w:r>
    </w:p>
    <w:p w14:paraId="13790033" w14:textId="725E08DD" w:rsidR="00873216" w:rsidRPr="005912D6" w:rsidRDefault="00873216" w:rsidP="00873216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Komisia IT expertov /odborníkov </w:t>
      </w:r>
    </w:p>
    <w:p w14:paraId="1C86F841" w14:textId="2565B5CF" w:rsidR="00EA57C1" w:rsidRPr="005912D6" w:rsidRDefault="00EA57C1" w:rsidP="00873216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Metodika centrálneho verejného obstarávania IKT </w:t>
      </w:r>
    </w:p>
    <w:p w14:paraId="1A137E39" w14:textId="50197E41" w:rsidR="00693ED0" w:rsidRPr="005912D6" w:rsidRDefault="00693ED0" w:rsidP="00693ED0">
      <w:pPr>
        <w:pStyle w:val="Odsekzoznamu"/>
        <w:ind w:left="1068"/>
        <w:jc w:val="both"/>
        <w:rPr>
          <w:rFonts w:ascii="Arial" w:hAnsi="Arial" w:cs="Arial"/>
        </w:rPr>
      </w:pPr>
    </w:p>
    <w:p w14:paraId="579201AF" w14:textId="30B04244" w:rsidR="00693ED0" w:rsidRDefault="00693ED0" w:rsidP="00693ED0">
      <w:pPr>
        <w:pStyle w:val="Odsekzoznamu"/>
        <w:ind w:left="142"/>
        <w:jc w:val="both"/>
        <w:rPr>
          <w:rFonts w:ascii="Arial" w:hAnsi="Arial" w:cs="Arial"/>
        </w:rPr>
      </w:pPr>
    </w:p>
    <w:p w14:paraId="74EAF421" w14:textId="77777777" w:rsidR="005912D6" w:rsidRPr="005912D6" w:rsidRDefault="005912D6" w:rsidP="00693ED0">
      <w:pPr>
        <w:pStyle w:val="Odsekzoznamu"/>
        <w:ind w:left="142"/>
        <w:jc w:val="both"/>
        <w:rPr>
          <w:rFonts w:ascii="Arial" w:hAnsi="Arial" w:cs="Arial"/>
        </w:rPr>
      </w:pPr>
    </w:p>
    <w:p w14:paraId="6B870176" w14:textId="511A382F" w:rsidR="00693ED0" w:rsidRPr="005912D6" w:rsidRDefault="00693ED0" w:rsidP="005912D6">
      <w:pPr>
        <w:pStyle w:val="Odsekzoznamu"/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5912D6">
        <w:rPr>
          <w:rFonts w:ascii="Arial" w:hAnsi="Arial" w:cs="Arial"/>
          <w:b/>
        </w:rPr>
        <w:t>Vzorové zmluvy</w:t>
      </w:r>
      <w:r w:rsidRPr="005912D6">
        <w:rPr>
          <w:rFonts w:ascii="Arial" w:hAnsi="Arial" w:cs="Arial"/>
        </w:rPr>
        <w:t xml:space="preserve"> </w:t>
      </w:r>
    </w:p>
    <w:p w14:paraId="4537CBA1" w14:textId="0B6B4733" w:rsidR="00693ED0" w:rsidRPr="005912D6" w:rsidRDefault="00873216" w:rsidP="005912D6">
      <w:pPr>
        <w:tabs>
          <w:tab w:val="left" w:pos="0"/>
        </w:tabs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Predseda pracovnej skupiny uviedol, že téma „vzorové zmluvy“ je vo vysokom štádiu rozpracovania a v prvej fáze </w:t>
      </w:r>
      <w:r w:rsidR="005E0BDF" w:rsidRPr="005912D6">
        <w:rPr>
          <w:rFonts w:ascii="Arial" w:hAnsi="Arial" w:cs="Arial"/>
        </w:rPr>
        <w:t>bola súčasná iterácia konzultovaná so</w:t>
      </w:r>
      <w:r w:rsidRPr="005912D6">
        <w:rPr>
          <w:rFonts w:ascii="Arial" w:hAnsi="Arial" w:cs="Arial"/>
        </w:rPr>
        <w:t xml:space="preserve"> Slovensko</w:t>
      </w:r>
      <w:r w:rsidR="00B210ED" w:rsidRPr="005912D6">
        <w:rPr>
          <w:rFonts w:ascii="Arial" w:hAnsi="Arial" w:cs="Arial"/>
        </w:rPr>
        <w:t>.D</w:t>
      </w:r>
      <w:r w:rsidRPr="005912D6">
        <w:rPr>
          <w:rFonts w:ascii="Arial" w:hAnsi="Arial" w:cs="Arial"/>
        </w:rPr>
        <w:t>igital a ITAS. Zároveň predseda pracovnej skupiny uviedol, že v rámci iterácie č. 2 bude očakávať aj prípadné návrhy členov pracovnej skupiny. Na záver tejto témy sa predseda pracovnej skupiny poďakoval za vstupy zástupcom Slovensko</w:t>
      </w:r>
      <w:r w:rsidR="00B210ED" w:rsidRPr="005912D6">
        <w:rPr>
          <w:rFonts w:ascii="Arial" w:hAnsi="Arial" w:cs="Arial"/>
        </w:rPr>
        <w:t>.D</w:t>
      </w:r>
      <w:r w:rsidRPr="005912D6">
        <w:rPr>
          <w:rFonts w:ascii="Arial" w:hAnsi="Arial" w:cs="Arial"/>
        </w:rPr>
        <w:t xml:space="preserve">igital a ITAS. </w:t>
      </w:r>
    </w:p>
    <w:p w14:paraId="6185BF22" w14:textId="2A5FF27F" w:rsidR="00425B1C" w:rsidRPr="005912D6" w:rsidRDefault="00425B1C" w:rsidP="005912D6">
      <w:pPr>
        <w:pStyle w:val="Odsekzoznamu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</w:rPr>
      </w:pPr>
      <w:r w:rsidRPr="005912D6">
        <w:rPr>
          <w:rFonts w:ascii="Arial" w:hAnsi="Arial" w:cs="Arial"/>
          <w:b/>
        </w:rPr>
        <w:t>Ekvivalent</w:t>
      </w:r>
    </w:p>
    <w:p w14:paraId="35532E29" w14:textId="77777777" w:rsidR="000E1EBF" w:rsidRPr="005912D6" w:rsidRDefault="000E1EBF" w:rsidP="00425B1C">
      <w:pPr>
        <w:pStyle w:val="Odsekzoznamu"/>
        <w:ind w:left="644"/>
        <w:jc w:val="both"/>
        <w:rPr>
          <w:rFonts w:ascii="Arial" w:hAnsi="Arial" w:cs="Arial"/>
        </w:rPr>
      </w:pPr>
    </w:p>
    <w:p w14:paraId="3695F5E8" w14:textId="3AD92DD7" w:rsidR="005912D6" w:rsidRDefault="008B53F1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Predsed</w:t>
      </w:r>
      <w:r w:rsidR="008563B2" w:rsidRPr="005912D6">
        <w:rPr>
          <w:rFonts w:ascii="Arial" w:hAnsi="Arial" w:cs="Arial"/>
        </w:rPr>
        <w:t>a</w:t>
      </w:r>
      <w:r w:rsidRPr="005912D6">
        <w:rPr>
          <w:rFonts w:ascii="Arial" w:hAnsi="Arial" w:cs="Arial"/>
        </w:rPr>
        <w:t xml:space="preserve"> pracovnej sk</w:t>
      </w:r>
      <w:r w:rsidR="000E1EBF" w:rsidRPr="005912D6">
        <w:rPr>
          <w:rFonts w:ascii="Arial" w:hAnsi="Arial" w:cs="Arial"/>
        </w:rPr>
        <w:t>upiny otvoril tému „ekvivalent“ a</w:t>
      </w:r>
      <w:r w:rsidRPr="005912D6">
        <w:rPr>
          <w:rFonts w:ascii="Arial" w:hAnsi="Arial" w:cs="Arial"/>
        </w:rPr>
        <w:t xml:space="preserve"> uviedol, že pri rozpracovaní danej témy existuje ústna dohoda medzi MIRRI a ÚVO, </w:t>
      </w:r>
      <w:r w:rsidR="008563B2" w:rsidRPr="005912D6">
        <w:rPr>
          <w:rFonts w:ascii="Arial" w:hAnsi="Arial" w:cs="Arial"/>
        </w:rPr>
        <w:t xml:space="preserve">v znení </w:t>
      </w:r>
      <w:r w:rsidRPr="005912D6">
        <w:rPr>
          <w:rFonts w:ascii="Arial" w:hAnsi="Arial" w:cs="Arial"/>
        </w:rPr>
        <w:t>že pri príprave dokumentácie k tej</w:t>
      </w:r>
      <w:r w:rsidR="00065803" w:rsidRPr="005912D6">
        <w:rPr>
          <w:rFonts w:ascii="Arial" w:hAnsi="Arial" w:cs="Arial"/>
        </w:rPr>
        <w:t xml:space="preserve">to téme budú úzko spolupracovať. K téme ekvivalentu </w:t>
      </w:r>
      <w:r w:rsidR="004552B0" w:rsidRPr="005912D6">
        <w:rPr>
          <w:rFonts w:ascii="Arial" w:hAnsi="Arial" w:cs="Arial"/>
        </w:rPr>
        <w:t xml:space="preserve">predseda otvoril diskusiu: </w:t>
      </w:r>
    </w:p>
    <w:p w14:paraId="38C0567D" w14:textId="77777777" w:rsidR="005912D6" w:rsidRPr="005912D6" w:rsidRDefault="005912D6" w:rsidP="005912D6">
      <w:pPr>
        <w:pStyle w:val="Odsekzoznamu"/>
        <w:ind w:left="0"/>
        <w:jc w:val="both"/>
        <w:rPr>
          <w:rFonts w:ascii="Arial" w:hAnsi="Arial" w:cs="Arial"/>
        </w:rPr>
      </w:pPr>
    </w:p>
    <w:p w14:paraId="5D52D254" w14:textId="77777777" w:rsidR="004552B0" w:rsidRPr="005912D6" w:rsidRDefault="004552B0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Peter Kulich (SD) navrhol vo vzťahu k tejto tému vychádzať z historicky vypracovaných podkladov, </w:t>
      </w:r>
    </w:p>
    <w:p w14:paraId="4D5BC7D7" w14:textId="77777777" w:rsidR="004552B0" w:rsidRPr="005912D6" w:rsidRDefault="004552B0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MKSR, MVSR, ITAS, MZSR (NCZI), MŠVVaŠ SR</w:t>
      </w:r>
      <w:r w:rsidR="002F6D92" w:rsidRPr="005912D6">
        <w:rPr>
          <w:rFonts w:ascii="Arial" w:hAnsi="Arial" w:cs="Arial"/>
        </w:rPr>
        <w:t xml:space="preserve"> a ÚVO</w:t>
      </w:r>
      <w:r w:rsidRPr="005912D6">
        <w:rPr>
          <w:rFonts w:ascii="Arial" w:hAnsi="Arial" w:cs="Arial"/>
        </w:rPr>
        <w:t xml:space="preserve"> prejavili záujem byť aktívny v rámci menšej „working group“ k téme ekvivalentu</w:t>
      </w:r>
    </w:p>
    <w:p w14:paraId="550E6F73" w14:textId="77777777" w:rsidR="004552B0" w:rsidRPr="005912D6" w:rsidRDefault="004552B0" w:rsidP="004552B0">
      <w:pPr>
        <w:pStyle w:val="Odsekzoznamu"/>
        <w:ind w:left="1068"/>
        <w:jc w:val="both"/>
        <w:rPr>
          <w:rFonts w:ascii="Arial" w:hAnsi="Arial" w:cs="Arial"/>
        </w:rPr>
      </w:pPr>
    </w:p>
    <w:p w14:paraId="25D681A5" w14:textId="02EEF5E5" w:rsidR="004552B0" w:rsidRPr="005912D6" w:rsidRDefault="004552B0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  <w:b/>
        </w:rPr>
        <w:t>Úloha:</w:t>
      </w:r>
      <w:r w:rsidRPr="005912D6">
        <w:rPr>
          <w:rFonts w:ascii="Arial" w:hAnsi="Arial" w:cs="Arial"/>
        </w:rPr>
        <w:t xml:space="preserve"> Peter Kulich – získať a vyzdie</w:t>
      </w:r>
      <w:r w:rsidR="00022FB7" w:rsidRPr="005912D6">
        <w:rPr>
          <w:rFonts w:ascii="Arial" w:hAnsi="Arial" w:cs="Arial"/>
        </w:rPr>
        <w:t>ľ</w:t>
      </w:r>
      <w:r w:rsidRPr="005912D6">
        <w:rPr>
          <w:rFonts w:ascii="Arial" w:hAnsi="Arial" w:cs="Arial"/>
        </w:rPr>
        <w:t>ať s pracovnou skupinou historicky vytvorené dokumenty týkajúce sa problematiky „ekvivalent“</w:t>
      </w:r>
    </w:p>
    <w:p w14:paraId="31385BE0" w14:textId="77777777" w:rsidR="00065803" w:rsidRPr="005912D6" w:rsidRDefault="00065803" w:rsidP="00065803">
      <w:pPr>
        <w:pStyle w:val="Odsekzoznamu"/>
        <w:ind w:left="644"/>
        <w:jc w:val="both"/>
        <w:rPr>
          <w:rFonts w:ascii="Arial" w:hAnsi="Arial" w:cs="Arial"/>
        </w:rPr>
      </w:pPr>
    </w:p>
    <w:p w14:paraId="247D6F98" w14:textId="6C777682" w:rsidR="00693ED0" w:rsidRPr="005912D6" w:rsidRDefault="00693ED0" w:rsidP="005912D6">
      <w:pPr>
        <w:pStyle w:val="Odsekzoznamu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</w:rPr>
      </w:pPr>
      <w:r w:rsidRPr="005912D6">
        <w:rPr>
          <w:rFonts w:ascii="Arial" w:hAnsi="Arial" w:cs="Arial"/>
          <w:b/>
        </w:rPr>
        <w:t>Komisia IT odborníkov</w:t>
      </w:r>
    </w:p>
    <w:p w14:paraId="3E0A463F" w14:textId="77777777" w:rsidR="00693ED0" w:rsidRPr="005912D6" w:rsidRDefault="00693ED0" w:rsidP="00693ED0">
      <w:pPr>
        <w:pStyle w:val="Odsekzoznamu"/>
        <w:ind w:left="644"/>
        <w:jc w:val="both"/>
        <w:rPr>
          <w:rFonts w:ascii="Arial" w:hAnsi="Arial" w:cs="Arial"/>
          <w:b/>
        </w:rPr>
      </w:pPr>
    </w:p>
    <w:p w14:paraId="5A297E69" w14:textId="753EEE2A" w:rsidR="00065803" w:rsidRPr="005912D6" w:rsidRDefault="00065803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Predseda pracovnej </w:t>
      </w:r>
      <w:r w:rsidR="000E1EBF" w:rsidRPr="005912D6">
        <w:rPr>
          <w:rFonts w:ascii="Arial" w:hAnsi="Arial" w:cs="Arial"/>
        </w:rPr>
        <w:t xml:space="preserve">skupiny predstavil ďalšiu tému týkajúcu sa </w:t>
      </w:r>
      <w:r w:rsidRPr="005912D6">
        <w:rPr>
          <w:rFonts w:ascii="Arial" w:hAnsi="Arial" w:cs="Arial"/>
        </w:rPr>
        <w:t>„komisi</w:t>
      </w:r>
      <w:r w:rsidR="000E1EBF" w:rsidRPr="005912D6">
        <w:rPr>
          <w:rFonts w:ascii="Arial" w:hAnsi="Arial" w:cs="Arial"/>
        </w:rPr>
        <w:t>e</w:t>
      </w:r>
      <w:r w:rsidRPr="005912D6">
        <w:rPr>
          <w:rFonts w:ascii="Arial" w:hAnsi="Arial" w:cs="Arial"/>
        </w:rPr>
        <w:t xml:space="preserve"> IT odborníkov“</w:t>
      </w:r>
      <w:r w:rsidR="005326DF" w:rsidRPr="005912D6">
        <w:rPr>
          <w:rFonts w:ascii="Arial" w:hAnsi="Arial" w:cs="Arial"/>
        </w:rPr>
        <w:t>. V súčasnom znení „koncepcie nákupu IT vo verejnej správe“ existuje zakotvenie komisie IT odborníkov</w:t>
      </w:r>
      <w:r w:rsidR="003E400D" w:rsidRPr="005912D6">
        <w:rPr>
          <w:rFonts w:ascii="Arial" w:hAnsi="Arial" w:cs="Arial"/>
        </w:rPr>
        <w:t xml:space="preserve"> zriaden</w:t>
      </w:r>
      <w:r w:rsidR="005326DF" w:rsidRPr="005912D6">
        <w:rPr>
          <w:rFonts w:ascii="Arial" w:hAnsi="Arial" w:cs="Arial"/>
        </w:rPr>
        <w:t>ej</w:t>
      </w:r>
      <w:r w:rsidR="003E400D" w:rsidRPr="005912D6">
        <w:rPr>
          <w:rFonts w:ascii="Arial" w:hAnsi="Arial" w:cs="Arial"/>
        </w:rPr>
        <w:t xml:space="preserve"> </w:t>
      </w:r>
      <w:r w:rsidRPr="005912D6">
        <w:rPr>
          <w:rFonts w:ascii="Arial" w:hAnsi="Arial" w:cs="Arial"/>
        </w:rPr>
        <w:t> MIRRI</w:t>
      </w:r>
      <w:r w:rsidR="005326DF" w:rsidRPr="005912D6">
        <w:rPr>
          <w:rFonts w:ascii="Arial" w:hAnsi="Arial" w:cs="Arial"/>
        </w:rPr>
        <w:t>,</w:t>
      </w:r>
      <w:r w:rsidR="003E400D" w:rsidRPr="005912D6">
        <w:rPr>
          <w:rFonts w:ascii="Arial" w:hAnsi="Arial" w:cs="Arial"/>
        </w:rPr>
        <w:t xml:space="preserve"> ktorej účastníkmi </w:t>
      </w:r>
      <w:r w:rsidR="005326DF" w:rsidRPr="005912D6">
        <w:rPr>
          <w:rFonts w:ascii="Arial" w:hAnsi="Arial" w:cs="Arial"/>
        </w:rPr>
        <w:t>budú</w:t>
      </w:r>
      <w:r w:rsidR="003E400D" w:rsidRPr="005912D6">
        <w:rPr>
          <w:rFonts w:ascii="Arial" w:hAnsi="Arial" w:cs="Arial"/>
        </w:rPr>
        <w:t xml:space="preserve"> experti</w:t>
      </w:r>
      <w:r w:rsidR="005326DF" w:rsidRPr="005912D6">
        <w:rPr>
          <w:rFonts w:ascii="Arial" w:hAnsi="Arial" w:cs="Arial"/>
        </w:rPr>
        <w:t xml:space="preserve"> z oblasti IT</w:t>
      </w:r>
      <w:r w:rsidR="003E400D" w:rsidRPr="005912D6">
        <w:rPr>
          <w:rFonts w:ascii="Arial" w:hAnsi="Arial" w:cs="Arial"/>
        </w:rPr>
        <w:t xml:space="preserve"> a iné zapojené osoby</w:t>
      </w:r>
      <w:r w:rsidR="005326DF" w:rsidRPr="005912D6">
        <w:rPr>
          <w:rFonts w:ascii="Arial" w:hAnsi="Arial" w:cs="Arial"/>
        </w:rPr>
        <w:t xml:space="preserve">, </w:t>
      </w:r>
      <w:r w:rsidR="003E400D" w:rsidRPr="005912D6">
        <w:rPr>
          <w:rFonts w:ascii="Arial" w:hAnsi="Arial" w:cs="Arial"/>
        </w:rPr>
        <w:t xml:space="preserve">, v rámci, ktorej </w:t>
      </w:r>
      <w:r w:rsidR="005326DF" w:rsidRPr="005912D6">
        <w:rPr>
          <w:rFonts w:ascii="Arial" w:hAnsi="Arial" w:cs="Arial"/>
        </w:rPr>
        <w:t>je tento</w:t>
      </w:r>
      <w:r w:rsidR="003E400D" w:rsidRPr="005912D6">
        <w:rPr>
          <w:rFonts w:ascii="Arial" w:hAnsi="Arial" w:cs="Arial"/>
        </w:rPr>
        <w:t xml:space="preserve"> záväzok</w:t>
      </w:r>
      <w:r w:rsidR="005326DF" w:rsidRPr="005912D6">
        <w:rPr>
          <w:rFonts w:ascii="Arial" w:hAnsi="Arial" w:cs="Arial"/>
        </w:rPr>
        <w:t xml:space="preserve"> definovaný nasledovne</w:t>
      </w:r>
      <w:r w:rsidR="003E400D" w:rsidRPr="005912D6">
        <w:rPr>
          <w:rFonts w:ascii="Arial" w:hAnsi="Arial" w:cs="Arial"/>
        </w:rPr>
        <w:t>: „</w:t>
      </w:r>
      <w:r w:rsidR="003E400D" w:rsidRPr="005912D6">
        <w:rPr>
          <w:rFonts w:ascii="Arial" w:hAnsi="Arial" w:cs="Arial"/>
          <w:i/>
          <w:noProof/>
        </w:rPr>
        <w:t>UPVII zriadi komisiu zloženú z nezávislých IT odborníkov, ktorí budú odborne erudovaní v oblasti IT a budú mať dostatočné skúsenosti z praxe IT.“</w:t>
      </w:r>
    </w:p>
    <w:p w14:paraId="04E35A6A" w14:textId="77777777" w:rsidR="00E63416" w:rsidRPr="005912D6" w:rsidRDefault="00E63416" w:rsidP="00E63416">
      <w:pPr>
        <w:pStyle w:val="Odsekzoznamu"/>
        <w:ind w:left="644"/>
        <w:jc w:val="both"/>
        <w:rPr>
          <w:rFonts w:ascii="Arial" w:hAnsi="Arial" w:cs="Arial"/>
        </w:rPr>
      </w:pPr>
    </w:p>
    <w:p w14:paraId="3B3B5101" w14:textId="21C91C5C" w:rsidR="00EA57C1" w:rsidRDefault="00E63416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  <w:noProof/>
        </w:rPr>
        <w:t xml:space="preserve">K predmetnej téme Martin Bezek za MIRRI uviedol, že MIRRI má kapacity posúdiť v rámci </w:t>
      </w:r>
      <w:r w:rsidR="00EA57C1" w:rsidRPr="005912D6">
        <w:rPr>
          <w:rFonts w:ascii="Arial" w:hAnsi="Arial" w:cs="Arial"/>
          <w:noProof/>
        </w:rPr>
        <w:t xml:space="preserve">daného procesu  </w:t>
      </w:r>
      <w:r w:rsidRPr="005912D6">
        <w:rPr>
          <w:rFonts w:ascii="Arial" w:hAnsi="Arial" w:cs="Arial"/>
          <w:noProof/>
        </w:rPr>
        <w:t xml:space="preserve">„vendor lock“ v ustanoveniach zmluvy o dielo a SLA zmluvy ako aj </w:t>
      </w:r>
      <w:r w:rsidR="00EA57C1" w:rsidRPr="005912D6">
        <w:rPr>
          <w:rFonts w:ascii="Arial" w:hAnsi="Arial" w:cs="Arial"/>
          <w:noProof/>
        </w:rPr>
        <w:t xml:space="preserve">odporučiť výber </w:t>
      </w:r>
      <w:r w:rsidRPr="005912D6">
        <w:rPr>
          <w:rFonts w:ascii="Arial" w:hAnsi="Arial" w:cs="Arial"/>
          <w:noProof/>
        </w:rPr>
        <w:t>a nastaven</w:t>
      </w:r>
      <w:r w:rsidR="00EA57C1" w:rsidRPr="005912D6">
        <w:rPr>
          <w:rFonts w:ascii="Arial" w:hAnsi="Arial" w:cs="Arial"/>
          <w:noProof/>
        </w:rPr>
        <w:t>ie</w:t>
      </w:r>
      <w:r w:rsidRPr="005912D6">
        <w:rPr>
          <w:rFonts w:ascii="Arial" w:hAnsi="Arial" w:cs="Arial"/>
          <w:noProof/>
        </w:rPr>
        <w:t xml:space="preserve"> fi</w:t>
      </w:r>
      <w:r w:rsidR="00EA57C1" w:rsidRPr="005912D6">
        <w:rPr>
          <w:rFonts w:ascii="Arial" w:hAnsi="Arial" w:cs="Arial"/>
          <w:noProof/>
        </w:rPr>
        <w:t>nančej alternatívy súviasaicej s nastavením majetkových autorských práv,</w:t>
      </w:r>
    </w:p>
    <w:p w14:paraId="087E2208" w14:textId="1317A06F" w:rsidR="00E63416" w:rsidRDefault="00E63416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  <w:noProof/>
        </w:rPr>
        <w:t>Zhodne sa SD, ÚVO ako aj ITAS vyjadrili, že pôsobnosť tejto komisie zmieňovanej v rámci koncepcie nákupu IT vo verejnej správe by mala byť priamo prepojená s inštitútom poroty v rámci súťaže návrhov</w:t>
      </w:r>
      <w:r w:rsidR="005912D6">
        <w:rPr>
          <w:rFonts w:ascii="Arial" w:hAnsi="Arial" w:cs="Arial"/>
          <w:noProof/>
        </w:rPr>
        <w:t xml:space="preserve"> vo verejnom obstarávaní,</w:t>
      </w:r>
    </w:p>
    <w:p w14:paraId="69EC5343" w14:textId="34F61BC4" w:rsidR="00E63416" w:rsidRDefault="00E63416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  <w:noProof/>
        </w:rPr>
        <w:t>ITAS uviedol, že ak je vôľa baviť sa o komisii expertov aj na tejto úrovni, je nevyhnutn</w:t>
      </w:r>
      <w:r w:rsidR="002F6D92" w:rsidRPr="005912D6">
        <w:rPr>
          <w:rFonts w:ascii="Arial" w:hAnsi="Arial" w:cs="Arial"/>
          <w:noProof/>
        </w:rPr>
        <w:t>é</w:t>
      </w:r>
      <w:r w:rsidRPr="005912D6">
        <w:rPr>
          <w:rFonts w:ascii="Arial" w:hAnsi="Arial" w:cs="Arial"/>
          <w:noProof/>
        </w:rPr>
        <w:t xml:space="preserve"> nastaviť spôsob výberu expertov a</w:t>
      </w:r>
      <w:r w:rsidR="00EA57C1" w:rsidRPr="005912D6">
        <w:rPr>
          <w:rFonts w:ascii="Arial" w:hAnsi="Arial" w:cs="Arial"/>
          <w:noProof/>
        </w:rPr>
        <w:t> </w:t>
      </w:r>
      <w:r w:rsidRPr="005912D6">
        <w:rPr>
          <w:rFonts w:ascii="Arial" w:hAnsi="Arial" w:cs="Arial"/>
          <w:noProof/>
        </w:rPr>
        <w:t>zabezpeč</w:t>
      </w:r>
      <w:r w:rsidR="00EA57C1" w:rsidRPr="005912D6">
        <w:rPr>
          <w:rFonts w:ascii="Arial" w:hAnsi="Arial" w:cs="Arial"/>
          <w:noProof/>
        </w:rPr>
        <w:t>iť</w:t>
      </w:r>
      <w:r w:rsidRPr="005912D6">
        <w:rPr>
          <w:rFonts w:ascii="Arial" w:hAnsi="Arial" w:cs="Arial"/>
          <w:noProof/>
        </w:rPr>
        <w:t>, aby neboli pri rozhodovaní/posudzovaní v konflikte záujmov</w:t>
      </w:r>
      <w:r w:rsidR="00EA57C1" w:rsidRPr="005912D6">
        <w:rPr>
          <w:rFonts w:ascii="Arial" w:hAnsi="Arial" w:cs="Arial"/>
          <w:noProof/>
        </w:rPr>
        <w:t>,</w:t>
      </w:r>
    </w:p>
    <w:p w14:paraId="42A28582" w14:textId="070201E0" w:rsidR="00803F93" w:rsidRDefault="00E63416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  <w:noProof/>
        </w:rPr>
        <w:t xml:space="preserve">MIRRI navrhlo, </w:t>
      </w:r>
      <w:r w:rsidR="005C54F2" w:rsidRPr="005912D6">
        <w:rPr>
          <w:rFonts w:ascii="Arial" w:hAnsi="Arial" w:cs="Arial"/>
          <w:noProof/>
        </w:rPr>
        <w:t>zmeniť</w:t>
      </w:r>
      <w:r w:rsidRPr="005912D6">
        <w:rPr>
          <w:rFonts w:ascii="Arial" w:hAnsi="Arial" w:cs="Arial"/>
          <w:noProof/>
        </w:rPr>
        <w:t xml:space="preserve"> text koncepcie</w:t>
      </w:r>
      <w:r w:rsidR="005C54F2" w:rsidRPr="005912D6">
        <w:rPr>
          <w:rFonts w:ascii="Arial" w:hAnsi="Arial" w:cs="Arial"/>
          <w:noProof/>
        </w:rPr>
        <w:t xml:space="preserve"> nákupu IT</w:t>
      </w:r>
      <w:r w:rsidRPr="005912D6">
        <w:rPr>
          <w:rFonts w:ascii="Arial" w:hAnsi="Arial" w:cs="Arial"/>
          <w:noProof/>
        </w:rPr>
        <w:t xml:space="preserve"> takým spôsobom, že </w:t>
      </w:r>
      <w:r w:rsidR="005C54F2" w:rsidRPr="005912D6">
        <w:rPr>
          <w:rFonts w:ascii="Arial" w:hAnsi="Arial" w:cs="Arial"/>
          <w:noProof/>
        </w:rPr>
        <w:t>odstráni</w:t>
      </w:r>
      <w:r w:rsidRPr="005912D6">
        <w:rPr>
          <w:rFonts w:ascii="Arial" w:hAnsi="Arial" w:cs="Arial"/>
          <w:noProof/>
        </w:rPr>
        <w:t xml:space="preserve"> zmätočn</w:t>
      </w:r>
      <w:r w:rsidR="005C54F2" w:rsidRPr="005912D6">
        <w:rPr>
          <w:rFonts w:ascii="Arial" w:hAnsi="Arial" w:cs="Arial"/>
          <w:noProof/>
        </w:rPr>
        <w:t>ú</w:t>
      </w:r>
      <w:r w:rsidRPr="005912D6">
        <w:rPr>
          <w:rFonts w:ascii="Arial" w:hAnsi="Arial" w:cs="Arial"/>
          <w:noProof/>
        </w:rPr>
        <w:t xml:space="preserve"> </w:t>
      </w:r>
      <w:r w:rsidR="005C54F2" w:rsidRPr="005912D6">
        <w:rPr>
          <w:rFonts w:ascii="Arial" w:hAnsi="Arial" w:cs="Arial"/>
          <w:noProof/>
        </w:rPr>
        <w:t xml:space="preserve">formuláciu týkajúcu sa </w:t>
      </w:r>
      <w:r w:rsidRPr="005912D6">
        <w:rPr>
          <w:rFonts w:ascii="Arial" w:hAnsi="Arial" w:cs="Arial"/>
          <w:noProof/>
        </w:rPr>
        <w:t>existenci</w:t>
      </w:r>
      <w:r w:rsidR="005C54F2" w:rsidRPr="005912D6">
        <w:rPr>
          <w:rFonts w:ascii="Arial" w:hAnsi="Arial" w:cs="Arial"/>
          <w:noProof/>
        </w:rPr>
        <w:t>e</w:t>
      </w:r>
      <w:r w:rsidRPr="005912D6">
        <w:rPr>
          <w:rFonts w:ascii="Arial" w:hAnsi="Arial" w:cs="Arial"/>
          <w:noProof/>
        </w:rPr>
        <w:t xml:space="preserve"> komisie</w:t>
      </w:r>
      <w:r w:rsidR="005C54F2" w:rsidRPr="005912D6">
        <w:rPr>
          <w:rFonts w:ascii="Arial" w:hAnsi="Arial" w:cs="Arial"/>
          <w:noProof/>
        </w:rPr>
        <w:t xml:space="preserve"> IT odborníkov a upraví jej existenciu s väzbou na</w:t>
      </w:r>
      <w:r w:rsidRPr="005912D6">
        <w:rPr>
          <w:rFonts w:ascii="Arial" w:hAnsi="Arial" w:cs="Arial"/>
          <w:noProof/>
        </w:rPr>
        <w:t> inštitút poroty</w:t>
      </w:r>
      <w:r w:rsidR="005912D6">
        <w:rPr>
          <w:rFonts w:ascii="Arial" w:hAnsi="Arial" w:cs="Arial"/>
          <w:noProof/>
        </w:rPr>
        <w:t xml:space="preserve"> v rámci súťaže návrhov,</w:t>
      </w:r>
    </w:p>
    <w:p w14:paraId="3F49D182" w14:textId="1D69BEB7" w:rsidR="00803F93" w:rsidRDefault="005C54F2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  <w:noProof/>
        </w:rPr>
        <w:t xml:space="preserve">MIRRI </w:t>
      </w:r>
      <w:r w:rsidR="00E63416" w:rsidRPr="005912D6">
        <w:rPr>
          <w:rFonts w:ascii="Arial" w:hAnsi="Arial" w:cs="Arial"/>
          <w:noProof/>
        </w:rPr>
        <w:t> zár</w:t>
      </w:r>
      <w:r w:rsidRPr="005912D6">
        <w:rPr>
          <w:rFonts w:ascii="Arial" w:hAnsi="Arial" w:cs="Arial"/>
          <w:noProof/>
        </w:rPr>
        <w:t>oveň navrhne postup posudzovania</w:t>
      </w:r>
      <w:r w:rsidR="00E63416" w:rsidRPr="005912D6">
        <w:rPr>
          <w:rFonts w:ascii="Arial" w:hAnsi="Arial" w:cs="Arial"/>
          <w:noProof/>
        </w:rPr>
        <w:t xml:space="preserve"> projektov na MIRRI v rámci svojich kapac</w:t>
      </w:r>
      <w:r w:rsidRPr="005912D6">
        <w:rPr>
          <w:rFonts w:ascii="Arial" w:hAnsi="Arial" w:cs="Arial"/>
          <w:noProof/>
        </w:rPr>
        <w:t>ít</w:t>
      </w:r>
      <w:r w:rsidR="00803F93" w:rsidRPr="005912D6">
        <w:rPr>
          <w:rFonts w:ascii="Arial" w:hAnsi="Arial" w:cs="Arial"/>
          <w:noProof/>
        </w:rPr>
        <w:t>,</w:t>
      </w:r>
    </w:p>
    <w:p w14:paraId="2A4320AF" w14:textId="35AB79DA" w:rsidR="00E63416" w:rsidRPr="005912D6" w:rsidRDefault="00803F93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  <w:noProof/>
        </w:rPr>
        <w:t xml:space="preserve">MIRRI navrhne v rámci pracovnej skupiny diskutovať „skupinu expertov“, ktorá bude vykreovaná za účelom ich posudzovania projektov (vrátane technickej stránky) ako aj za účelom uplatnenia inštitútu poroty v súťaži návrhov. </w:t>
      </w:r>
      <w:r w:rsidR="00E63416" w:rsidRPr="005912D6">
        <w:rPr>
          <w:rFonts w:ascii="Arial" w:hAnsi="Arial" w:cs="Arial"/>
          <w:noProof/>
        </w:rPr>
        <w:t xml:space="preserve"> </w:t>
      </w:r>
    </w:p>
    <w:p w14:paraId="6C49B044" w14:textId="6255FD6F" w:rsidR="00E63416" w:rsidRPr="005912D6" w:rsidRDefault="00E63416" w:rsidP="005912D6">
      <w:pPr>
        <w:tabs>
          <w:tab w:val="left" w:pos="0"/>
          <w:tab w:val="left" w:pos="142"/>
        </w:tabs>
        <w:jc w:val="both"/>
        <w:rPr>
          <w:rFonts w:ascii="Arial" w:hAnsi="Arial" w:cs="Arial"/>
        </w:rPr>
      </w:pPr>
      <w:r w:rsidRPr="005912D6">
        <w:rPr>
          <w:rFonts w:ascii="Arial" w:hAnsi="Arial" w:cs="Arial"/>
          <w:b/>
        </w:rPr>
        <w:lastRenderedPageBreak/>
        <w:t xml:space="preserve">Úloha: </w:t>
      </w:r>
      <w:r w:rsidRPr="005912D6">
        <w:rPr>
          <w:rFonts w:ascii="Arial" w:hAnsi="Arial" w:cs="Arial"/>
        </w:rPr>
        <w:t xml:space="preserve">MIRRI vykoná aktualizáciu koncepcie nákupu </w:t>
      </w:r>
      <w:r w:rsidR="005912D6">
        <w:rPr>
          <w:rFonts w:ascii="Arial" w:hAnsi="Arial" w:cs="Arial"/>
        </w:rPr>
        <w:t xml:space="preserve">IT vo verejnej správe, zároveň </w:t>
      </w:r>
      <w:r w:rsidRPr="005912D6">
        <w:rPr>
          <w:rFonts w:ascii="Arial" w:hAnsi="Arial" w:cs="Arial"/>
        </w:rPr>
        <w:t>navrhne a zverejní postup posudzovania v rámci MIRR</w:t>
      </w:r>
      <w:r w:rsidR="00B210ED" w:rsidRPr="005912D6">
        <w:rPr>
          <w:rFonts w:ascii="Arial" w:hAnsi="Arial" w:cs="Arial"/>
        </w:rPr>
        <w:t>I</w:t>
      </w:r>
      <w:r w:rsidR="005912D6">
        <w:rPr>
          <w:rFonts w:ascii="Arial" w:hAnsi="Arial" w:cs="Arial"/>
        </w:rPr>
        <w:t xml:space="preserve"> (posudzovanie vendor lock </w:t>
      </w:r>
      <w:r w:rsidRPr="005912D6">
        <w:rPr>
          <w:rFonts w:ascii="Arial" w:hAnsi="Arial" w:cs="Arial"/>
        </w:rPr>
        <w:t>a fina</w:t>
      </w:r>
      <w:r w:rsidR="00A87FCE" w:rsidRPr="005912D6">
        <w:rPr>
          <w:rFonts w:ascii="Arial" w:hAnsi="Arial" w:cs="Arial"/>
        </w:rPr>
        <w:t>n</w:t>
      </w:r>
      <w:r w:rsidRPr="005912D6">
        <w:rPr>
          <w:rFonts w:ascii="Arial" w:hAnsi="Arial" w:cs="Arial"/>
        </w:rPr>
        <w:t>čnej výhodnosti predložených alternatív)</w:t>
      </w:r>
    </w:p>
    <w:p w14:paraId="09F4CED1" w14:textId="68D2FFE8" w:rsidR="00EA57C1" w:rsidRPr="005912D6" w:rsidRDefault="00EA57C1" w:rsidP="005912D6">
      <w:pPr>
        <w:pStyle w:val="Odsekzoznamu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</w:rPr>
      </w:pPr>
      <w:r w:rsidRPr="005912D6">
        <w:rPr>
          <w:rFonts w:ascii="Arial" w:hAnsi="Arial" w:cs="Arial"/>
          <w:b/>
        </w:rPr>
        <w:t>Metodika centrálneho verejného obstarávania IKT (centralizovaných či</w:t>
      </w:r>
      <w:r w:rsidR="00565AE8" w:rsidRPr="005912D6">
        <w:rPr>
          <w:rFonts w:ascii="Arial" w:hAnsi="Arial" w:cs="Arial"/>
          <w:b/>
        </w:rPr>
        <w:t>nností vo verejnom obstarávaní)</w:t>
      </w:r>
    </w:p>
    <w:p w14:paraId="53CA5B1E" w14:textId="77777777" w:rsidR="00EA57C1" w:rsidRPr="005912D6" w:rsidRDefault="00EA57C1" w:rsidP="00EA57C1">
      <w:pPr>
        <w:pStyle w:val="Odsekzoznamu"/>
        <w:tabs>
          <w:tab w:val="left" w:pos="426"/>
          <w:tab w:val="left" w:pos="567"/>
        </w:tabs>
        <w:ind w:left="567"/>
        <w:jc w:val="both"/>
        <w:rPr>
          <w:rFonts w:ascii="Arial" w:hAnsi="Arial" w:cs="Arial"/>
        </w:rPr>
      </w:pPr>
    </w:p>
    <w:p w14:paraId="61FC009C" w14:textId="0137516B" w:rsidR="00065803" w:rsidRPr="005912D6" w:rsidRDefault="00A87FCE" w:rsidP="005912D6">
      <w:pPr>
        <w:pStyle w:val="Odsekzoznamu"/>
        <w:ind w:left="284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Predseda pracovnej s</w:t>
      </w:r>
      <w:r w:rsidR="00EA14FA" w:rsidRPr="005912D6">
        <w:rPr>
          <w:rFonts w:ascii="Arial" w:hAnsi="Arial" w:cs="Arial"/>
        </w:rPr>
        <w:t>kupiny predstavil poslednú tému</w:t>
      </w:r>
      <w:r w:rsidRPr="005912D6">
        <w:rPr>
          <w:rFonts w:ascii="Arial" w:hAnsi="Arial" w:cs="Arial"/>
        </w:rPr>
        <w:t xml:space="preserve"> vytvorenie metodiky k cen</w:t>
      </w:r>
      <w:r w:rsidR="00EA14FA" w:rsidRPr="005912D6">
        <w:rPr>
          <w:rFonts w:ascii="Arial" w:hAnsi="Arial" w:cs="Arial"/>
        </w:rPr>
        <w:t xml:space="preserve">trálnemu verejnému obstarávaniu. </w:t>
      </w:r>
    </w:p>
    <w:p w14:paraId="1BB04DB2" w14:textId="77777777" w:rsidR="00A87FCE" w:rsidRPr="005912D6" w:rsidRDefault="00A87FCE" w:rsidP="00A87FCE">
      <w:pPr>
        <w:pStyle w:val="Odsekzoznamu"/>
        <w:tabs>
          <w:tab w:val="left" w:pos="426"/>
          <w:tab w:val="left" w:pos="567"/>
        </w:tabs>
        <w:ind w:left="567"/>
        <w:jc w:val="both"/>
        <w:rPr>
          <w:rFonts w:ascii="Arial" w:hAnsi="Arial" w:cs="Arial"/>
        </w:rPr>
      </w:pPr>
    </w:p>
    <w:p w14:paraId="55A16427" w14:textId="30FF1752" w:rsidR="00A87FCE" w:rsidRDefault="00A87FCE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k predmetnej téme sa v</w:t>
      </w:r>
      <w:r w:rsidR="00EA14FA" w:rsidRPr="005912D6">
        <w:rPr>
          <w:rFonts w:ascii="Arial" w:hAnsi="Arial" w:cs="Arial"/>
        </w:rPr>
        <w:t>yjadril Igor Hladík za MIRRI</w:t>
      </w:r>
      <w:r w:rsidRPr="005912D6">
        <w:rPr>
          <w:rFonts w:ascii="Arial" w:hAnsi="Arial" w:cs="Arial"/>
        </w:rPr>
        <w:t xml:space="preserve">, s uvedením, že určitá úroveň všeobecnej metodiky k centralizovaným činnostiam vo verejnom obstarávaní </w:t>
      </w:r>
      <w:r w:rsidR="00390EE2" w:rsidRPr="005912D6">
        <w:rPr>
          <w:rFonts w:ascii="Arial" w:hAnsi="Arial" w:cs="Arial"/>
        </w:rPr>
        <w:t xml:space="preserve">bude vypracovaná, </w:t>
      </w:r>
    </w:p>
    <w:p w14:paraId="2B8C18BE" w14:textId="1114D226" w:rsidR="00390EE2" w:rsidRDefault="00390EE2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MVSR k predmetnej téme </w:t>
      </w:r>
      <w:r w:rsidR="00EA14FA" w:rsidRPr="005912D6">
        <w:rPr>
          <w:rFonts w:ascii="Arial" w:hAnsi="Arial" w:cs="Arial"/>
        </w:rPr>
        <w:t>uviedlo</w:t>
      </w:r>
      <w:r w:rsidRPr="005912D6">
        <w:rPr>
          <w:rFonts w:ascii="Arial" w:hAnsi="Arial" w:cs="Arial"/>
        </w:rPr>
        <w:t xml:space="preserve">, že chce participovať </w:t>
      </w:r>
      <w:r w:rsidR="004470D8" w:rsidRPr="005912D6">
        <w:rPr>
          <w:rFonts w:ascii="Arial" w:hAnsi="Arial" w:cs="Arial"/>
        </w:rPr>
        <w:t xml:space="preserve">v rámci tejto témy a považuje za dôležité </w:t>
      </w:r>
      <w:r w:rsidR="00177AB1" w:rsidRPr="005912D6">
        <w:rPr>
          <w:rFonts w:ascii="Arial" w:hAnsi="Arial" w:cs="Arial"/>
        </w:rPr>
        <w:t>zaoberať sa</w:t>
      </w:r>
      <w:r w:rsidR="004470D8" w:rsidRPr="005912D6">
        <w:rPr>
          <w:rFonts w:ascii="Arial" w:hAnsi="Arial" w:cs="Arial"/>
        </w:rPr>
        <w:t xml:space="preserve"> aj centrál</w:t>
      </w:r>
      <w:r w:rsidR="00177AB1" w:rsidRPr="005912D6">
        <w:rPr>
          <w:rFonts w:ascii="Arial" w:hAnsi="Arial" w:cs="Arial"/>
        </w:rPr>
        <w:t>nym</w:t>
      </w:r>
      <w:r w:rsidR="004470D8" w:rsidRPr="005912D6">
        <w:rPr>
          <w:rFonts w:ascii="Arial" w:hAnsi="Arial" w:cs="Arial"/>
        </w:rPr>
        <w:t xml:space="preserve"> obstar</w:t>
      </w:r>
      <w:r w:rsidR="00177AB1" w:rsidRPr="005912D6">
        <w:rPr>
          <w:rFonts w:ascii="Arial" w:hAnsi="Arial" w:cs="Arial"/>
        </w:rPr>
        <w:t>ávaním HW ako súčasť</w:t>
      </w:r>
      <w:r w:rsidR="00EA14FA" w:rsidRPr="005912D6">
        <w:rPr>
          <w:rFonts w:ascii="Arial" w:hAnsi="Arial" w:cs="Arial"/>
        </w:rPr>
        <w:t>ou</w:t>
      </w:r>
      <w:r w:rsidR="005912D6">
        <w:rPr>
          <w:rFonts w:ascii="Arial" w:hAnsi="Arial" w:cs="Arial"/>
        </w:rPr>
        <w:t xml:space="preserve"> IKT komodít,</w:t>
      </w:r>
    </w:p>
    <w:p w14:paraId="319955DC" w14:textId="44FA4F0A" w:rsidR="00EA57C1" w:rsidRPr="005912D6" w:rsidRDefault="00662819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Martin Bezek (MIRRI) navrhol </w:t>
      </w:r>
      <w:r w:rsidR="00EA14FA" w:rsidRPr="005912D6">
        <w:rPr>
          <w:rFonts w:ascii="Arial" w:hAnsi="Arial" w:cs="Arial"/>
        </w:rPr>
        <w:t xml:space="preserve">danú tému riešiť v rámci užšej </w:t>
      </w:r>
      <w:r w:rsidRPr="005912D6">
        <w:rPr>
          <w:rFonts w:ascii="Arial" w:hAnsi="Arial" w:cs="Arial"/>
        </w:rPr>
        <w:t>skupiny pozostávajúce</w:t>
      </w:r>
      <w:r w:rsidR="00EA14FA" w:rsidRPr="005912D6">
        <w:rPr>
          <w:rFonts w:ascii="Arial" w:hAnsi="Arial" w:cs="Arial"/>
        </w:rPr>
        <w:t>j</w:t>
      </w:r>
      <w:r w:rsidRPr="005912D6">
        <w:rPr>
          <w:rFonts w:ascii="Arial" w:hAnsi="Arial" w:cs="Arial"/>
        </w:rPr>
        <w:t xml:space="preserve"> z členov pracovnej skupiny a definovať ktoré OVM má záujem zúčastňovať </w:t>
      </w:r>
      <w:r w:rsidR="00EA14FA" w:rsidRPr="005912D6">
        <w:rPr>
          <w:rFonts w:ascii="Arial" w:hAnsi="Arial" w:cs="Arial"/>
        </w:rPr>
        <w:t xml:space="preserve">sa </w:t>
      </w:r>
      <w:r w:rsidRPr="005912D6">
        <w:rPr>
          <w:rFonts w:ascii="Arial" w:hAnsi="Arial" w:cs="Arial"/>
        </w:rPr>
        <w:t>na centralizovanom obstarávaní – následne bude nevyhnutné riešiť spôsob</w:t>
      </w:r>
      <w:r w:rsidR="00EA14FA" w:rsidRPr="005912D6">
        <w:rPr>
          <w:rFonts w:ascii="Arial" w:hAnsi="Arial" w:cs="Arial"/>
        </w:rPr>
        <w:t>,</w:t>
      </w:r>
      <w:r w:rsidRPr="005912D6">
        <w:rPr>
          <w:rFonts w:ascii="Arial" w:hAnsi="Arial" w:cs="Arial"/>
        </w:rPr>
        <w:t xml:space="preserve"> akým sa OVM zaviaž</w:t>
      </w:r>
      <w:r w:rsidR="00EA14FA" w:rsidRPr="005912D6">
        <w:rPr>
          <w:rFonts w:ascii="Arial" w:hAnsi="Arial" w:cs="Arial"/>
        </w:rPr>
        <w:t>e</w:t>
      </w:r>
      <w:r w:rsidRPr="005912D6">
        <w:rPr>
          <w:rFonts w:ascii="Arial" w:hAnsi="Arial" w:cs="Arial"/>
        </w:rPr>
        <w:t xml:space="preserve"> k dodržiav</w:t>
      </w:r>
      <w:r w:rsidR="00EA14FA" w:rsidRPr="005912D6">
        <w:rPr>
          <w:rFonts w:ascii="Arial" w:hAnsi="Arial" w:cs="Arial"/>
        </w:rPr>
        <w:t>aniu takejto dohody.</w:t>
      </w:r>
    </w:p>
    <w:p w14:paraId="69278E3F" w14:textId="77777777" w:rsidR="005912D6" w:rsidRPr="005912D6" w:rsidRDefault="005912D6" w:rsidP="005912D6">
      <w:pPr>
        <w:pStyle w:val="Odsekzoznamu"/>
        <w:numPr>
          <w:ilvl w:val="0"/>
          <w:numId w:val="5"/>
        </w:numPr>
        <w:tabs>
          <w:tab w:val="left" w:pos="426"/>
          <w:tab w:val="left" w:pos="567"/>
        </w:tabs>
        <w:jc w:val="both"/>
        <w:rPr>
          <w:rFonts w:ascii="Arial" w:hAnsi="Arial" w:cs="Arial"/>
        </w:rPr>
      </w:pPr>
    </w:p>
    <w:p w14:paraId="37A78D6C" w14:textId="1BA08DAC" w:rsidR="00EA57C1" w:rsidRPr="005912D6" w:rsidRDefault="00EA14FA" w:rsidP="005912D6">
      <w:pPr>
        <w:pStyle w:val="Odsekzoznamu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</w:rPr>
      </w:pPr>
      <w:r w:rsidRPr="005912D6">
        <w:rPr>
          <w:rFonts w:ascii="Arial" w:hAnsi="Arial" w:cs="Arial"/>
          <w:b/>
        </w:rPr>
        <w:t xml:space="preserve">Diskusia (vrátane návrhov členov pracovných skupín) </w:t>
      </w:r>
    </w:p>
    <w:p w14:paraId="745E2B18" w14:textId="77777777" w:rsidR="00EA57C1" w:rsidRPr="005912D6" w:rsidRDefault="00EA57C1" w:rsidP="00EA57C1">
      <w:pPr>
        <w:pStyle w:val="Odsekzoznamu"/>
        <w:tabs>
          <w:tab w:val="left" w:pos="426"/>
          <w:tab w:val="left" w:pos="567"/>
        </w:tabs>
        <w:jc w:val="both"/>
        <w:rPr>
          <w:rFonts w:ascii="Arial" w:hAnsi="Arial" w:cs="Arial"/>
        </w:rPr>
      </w:pPr>
    </w:p>
    <w:p w14:paraId="58C73C54" w14:textId="2C4F2885" w:rsidR="00662819" w:rsidRPr="005912D6" w:rsidRDefault="00662819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V rámci otvorenia diskusie týkajúcej priorít pracovnej skupiny bola </w:t>
      </w:r>
      <w:r w:rsidR="00BF140F" w:rsidRPr="005912D6">
        <w:rPr>
          <w:rFonts w:ascii="Arial" w:hAnsi="Arial" w:cs="Arial"/>
        </w:rPr>
        <w:t xml:space="preserve">navrhnutá ako dôležitá </w:t>
      </w:r>
      <w:r w:rsidRPr="005912D6">
        <w:rPr>
          <w:rFonts w:ascii="Arial" w:hAnsi="Arial" w:cs="Arial"/>
        </w:rPr>
        <w:t>téma „kvalita</w:t>
      </w:r>
      <w:r w:rsidR="00BF140F" w:rsidRPr="005912D6">
        <w:rPr>
          <w:rFonts w:ascii="Arial" w:hAnsi="Arial" w:cs="Arial"/>
        </w:rPr>
        <w:t xml:space="preserve"> ako kvalifikačné kritérium v rámci VO IKT“</w:t>
      </w:r>
      <w:r w:rsidRPr="005912D6">
        <w:rPr>
          <w:rFonts w:ascii="Arial" w:hAnsi="Arial" w:cs="Arial"/>
        </w:rPr>
        <w:t xml:space="preserve">. </w:t>
      </w:r>
    </w:p>
    <w:p w14:paraId="6E625694" w14:textId="77777777" w:rsidR="00662819" w:rsidRPr="005912D6" w:rsidRDefault="00662819" w:rsidP="00662819">
      <w:pPr>
        <w:pStyle w:val="Odsekzoznamu"/>
        <w:tabs>
          <w:tab w:val="left" w:pos="426"/>
          <w:tab w:val="left" w:pos="567"/>
        </w:tabs>
        <w:jc w:val="both"/>
        <w:rPr>
          <w:rFonts w:ascii="Arial" w:hAnsi="Arial" w:cs="Arial"/>
        </w:rPr>
      </w:pPr>
    </w:p>
    <w:p w14:paraId="209BD470" w14:textId="3B52791B" w:rsidR="00BF140F" w:rsidRDefault="00662819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K tejto téme jej navrhovateľ Marián Marek (ITAS) uviedol, že mala by existovať vôľa rozšíriť kritériá pre hodnotenie softvérových diel vo verejnom obstarávaní na viac ako je len „</w:t>
      </w:r>
      <w:r w:rsidRPr="005912D6">
        <w:rPr>
          <w:rFonts w:ascii="Arial" w:hAnsi="Arial" w:cs="Arial"/>
          <w:i/>
        </w:rPr>
        <w:t>najlepšia cena</w:t>
      </w:r>
      <w:r w:rsidRPr="005912D6">
        <w:rPr>
          <w:rFonts w:ascii="Arial" w:hAnsi="Arial" w:cs="Arial"/>
        </w:rPr>
        <w:t>“. Zároveň pán Marek uviedol, že je potrebné postupne riešiť v rámci tejto témy metodiku (určenie princípov a príkladov dobrej praxe) pričom ÚVO považuje za nevyhnut</w:t>
      </w:r>
      <w:r w:rsidR="00BF140F" w:rsidRPr="005912D6">
        <w:rPr>
          <w:rFonts w:ascii="Arial" w:hAnsi="Arial" w:cs="Arial"/>
        </w:rPr>
        <w:t>ného participanta v danej téme,</w:t>
      </w:r>
    </w:p>
    <w:p w14:paraId="4DA05377" w14:textId="622BA99A" w:rsidR="00662819" w:rsidRPr="005912D6" w:rsidRDefault="00BF140F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K tejto téme Peter Kulich uviedol, že rokovaním vlády Slovenskej republiky bolo schválené uznesenie vlády SR 654/2020 s názvom „</w:t>
      </w:r>
      <w:r w:rsidRPr="005912D6">
        <w:rPr>
          <w:rFonts w:ascii="Arial" w:hAnsi="Arial" w:cs="Arial"/>
          <w:i/>
          <w:color w:val="000000" w:themeColor="text1"/>
          <w:shd w:val="clear" w:color="auto" w:fill="FFFFFF"/>
        </w:rPr>
        <w:t>Návrh Základných princípov riadenia IT projektov financovaných z verejných zdrojov a zdrojov EÚ – nové znenie</w:t>
      </w:r>
      <w:r w:rsidR="00454530" w:rsidRPr="005912D6">
        <w:rPr>
          <w:rFonts w:ascii="Arial" w:hAnsi="Arial" w:cs="Arial"/>
          <w:color w:val="000000" w:themeColor="text1"/>
        </w:rPr>
        <w:t>“, ktorým sa umocňuje potreba aktivity spočívajúcej v rozpracovaní tejto témy,</w:t>
      </w:r>
    </w:p>
    <w:p w14:paraId="01081867" w14:textId="2CBEF9DE" w:rsidR="00EA3BC2" w:rsidRDefault="00EA3BC2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Peter Kulich za Slovenko.Digital prezentoval, že za dobrý základ sa dá považovať návrh kritérií pre hodnotenie kvality v rámci metodiky Súťaže návrhov, ktorú vypracoval ITAS už v minulosti,</w:t>
      </w:r>
    </w:p>
    <w:p w14:paraId="1AAEE50F" w14:textId="2C81F0C0" w:rsidR="00662819" w:rsidRPr="005912D6" w:rsidRDefault="00662819" w:rsidP="005912D6">
      <w:pPr>
        <w:pStyle w:val="Odsekzoznamu"/>
        <w:numPr>
          <w:ilvl w:val="0"/>
          <w:numId w:val="5"/>
        </w:numPr>
        <w:ind w:left="851" w:hanging="425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K danej téme a jej potrebe sa prikláňa MIRRI ako aj ÚVO, zároveň ÚVO uvádza, že je pripravené odborne diskutovať na danú tému, pričom ÚVO ochotne bude zdieľať už existujúce životné skúsenosti. </w:t>
      </w:r>
    </w:p>
    <w:p w14:paraId="42962859" w14:textId="6A5F8F8E" w:rsidR="00662819" w:rsidRPr="005912D6" w:rsidRDefault="00662819" w:rsidP="00662819">
      <w:pPr>
        <w:pStyle w:val="Odsekzoznamu"/>
        <w:tabs>
          <w:tab w:val="left" w:pos="426"/>
          <w:tab w:val="left" w:pos="567"/>
        </w:tabs>
        <w:ind w:left="1068"/>
        <w:jc w:val="both"/>
        <w:rPr>
          <w:rFonts w:ascii="Arial" w:hAnsi="Arial" w:cs="Arial"/>
        </w:rPr>
      </w:pPr>
    </w:p>
    <w:p w14:paraId="62ACB067" w14:textId="369B47EE" w:rsidR="001F02FE" w:rsidRPr="005912D6" w:rsidRDefault="001F02FE" w:rsidP="005912D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5912D6">
        <w:rPr>
          <w:rFonts w:ascii="Arial" w:hAnsi="Arial" w:cs="Arial"/>
          <w:b/>
        </w:rPr>
        <w:t>Úloha</w:t>
      </w:r>
      <w:r w:rsidRPr="005912D6">
        <w:rPr>
          <w:rFonts w:ascii="Arial" w:hAnsi="Arial" w:cs="Arial"/>
        </w:rPr>
        <w:t>: V rámci diskusie z MS Teams kanála sa kolegovia z UV</w:t>
      </w:r>
      <w:r w:rsidR="005912D6">
        <w:rPr>
          <w:rFonts w:ascii="Arial" w:hAnsi="Arial" w:cs="Arial"/>
        </w:rPr>
        <w:t xml:space="preserve">O zaviazali zistiť a poskytnúť </w:t>
      </w:r>
      <w:r w:rsidRPr="005912D6">
        <w:rPr>
          <w:rFonts w:ascii="Arial" w:hAnsi="Arial" w:cs="Arial"/>
        </w:rPr>
        <w:t>informácie k metodike agilného v</w:t>
      </w:r>
      <w:r w:rsidR="005912D6">
        <w:rPr>
          <w:rFonts w:ascii="Arial" w:hAnsi="Arial" w:cs="Arial"/>
        </w:rPr>
        <w:t xml:space="preserve">erejného obstarávania (projekt </w:t>
      </w:r>
      <w:hyperlink r:id="rId10" w:history="1">
        <w:r w:rsidR="005912D6" w:rsidRPr="00096854">
          <w:rPr>
            <w:rStyle w:val="Hypertextovprepojenie"/>
            <w:rFonts w:ascii="Arial" w:eastAsia="Times New Roman" w:hAnsi="Arial" w:cs="Arial"/>
            <w:lang w:eastAsia="sk-SK"/>
          </w:rPr>
          <w:t>https://www.mfsr.sk/sk/medzinarodne-vztahy/europske-zalezitosti/program-podporu-strukturalnych-reforiem-srsp/uspesne-ziadosti-programu-srsp-oktober-2018/</w:t>
        </w:r>
      </w:hyperlink>
      <w:r w:rsidRPr="005912D6">
        <w:rPr>
          <w:rFonts w:ascii="Arial" w:eastAsia="Times New Roman" w:hAnsi="Arial" w:cs="Arial"/>
          <w:lang w:eastAsia="sk-SK"/>
        </w:rPr>
        <w:t>)</w:t>
      </w:r>
    </w:p>
    <w:p w14:paraId="17C7FBC3" w14:textId="7EF6F388" w:rsidR="001F02FE" w:rsidRDefault="001F02FE" w:rsidP="008E476D">
      <w:pPr>
        <w:tabs>
          <w:tab w:val="left" w:pos="426"/>
          <w:tab w:val="left" w:pos="567"/>
        </w:tabs>
        <w:jc w:val="both"/>
        <w:rPr>
          <w:rFonts w:ascii="Arial" w:hAnsi="Arial" w:cs="Arial"/>
        </w:rPr>
      </w:pPr>
    </w:p>
    <w:p w14:paraId="62E9AD07" w14:textId="7A5AB7A4" w:rsidR="008E476D" w:rsidRDefault="008E476D" w:rsidP="008E476D">
      <w:pPr>
        <w:tabs>
          <w:tab w:val="left" w:pos="426"/>
          <w:tab w:val="left" w:pos="567"/>
        </w:tabs>
        <w:jc w:val="both"/>
        <w:rPr>
          <w:rFonts w:ascii="Arial" w:hAnsi="Arial" w:cs="Arial"/>
        </w:rPr>
      </w:pPr>
    </w:p>
    <w:p w14:paraId="05440E7C" w14:textId="479EA98B" w:rsidR="008E476D" w:rsidRDefault="008E476D" w:rsidP="008E476D">
      <w:pPr>
        <w:tabs>
          <w:tab w:val="left" w:pos="426"/>
          <w:tab w:val="left" w:pos="567"/>
        </w:tabs>
        <w:jc w:val="both"/>
        <w:rPr>
          <w:rFonts w:ascii="Arial" w:hAnsi="Arial" w:cs="Arial"/>
        </w:rPr>
      </w:pPr>
    </w:p>
    <w:p w14:paraId="2CDB2625" w14:textId="77777777" w:rsidR="008E476D" w:rsidRPr="008E476D" w:rsidRDefault="008E476D" w:rsidP="008E476D">
      <w:pPr>
        <w:tabs>
          <w:tab w:val="left" w:pos="426"/>
          <w:tab w:val="left" w:pos="567"/>
        </w:tabs>
        <w:jc w:val="both"/>
        <w:rPr>
          <w:rFonts w:ascii="Arial" w:hAnsi="Arial" w:cs="Arial"/>
        </w:rPr>
      </w:pPr>
    </w:p>
    <w:p w14:paraId="37DE59AC" w14:textId="27F9C06D" w:rsidR="001F02FE" w:rsidRDefault="00662819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  <w:b/>
        </w:rPr>
        <w:lastRenderedPageBreak/>
        <w:t>Záve</w:t>
      </w:r>
      <w:r w:rsidR="001F02FE" w:rsidRPr="005912D6">
        <w:rPr>
          <w:rFonts w:ascii="Arial" w:hAnsi="Arial" w:cs="Arial"/>
        </w:rPr>
        <w:t>r</w:t>
      </w:r>
      <w:r w:rsidRPr="005912D6">
        <w:rPr>
          <w:rFonts w:ascii="Arial" w:hAnsi="Arial" w:cs="Arial"/>
        </w:rPr>
        <w:t xml:space="preserve"> </w:t>
      </w:r>
    </w:p>
    <w:p w14:paraId="3357D118" w14:textId="77777777" w:rsidR="00E55A72" w:rsidRPr="005912D6" w:rsidRDefault="00E55A72" w:rsidP="005912D6">
      <w:pPr>
        <w:pStyle w:val="Odsekzoznamu"/>
        <w:ind w:left="0"/>
        <w:jc w:val="both"/>
        <w:rPr>
          <w:rFonts w:ascii="Arial" w:hAnsi="Arial" w:cs="Arial"/>
        </w:rPr>
      </w:pPr>
    </w:p>
    <w:p w14:paraId="0BD61C6E" w14:textId="57D6C794" w:rsidR="00890E8C" w:rsidRPr="005912D6" w:rsidRDefault="004B2370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Predseda pracovnej skupiny konštatoval, že témy na diskusiu boli vyčerpané</w:t>
      </w:r>
      <w:r w:rsidR="005912D6">
        <w:rPr>
          <w:rFonts w:ascii="Arial" w:hAnsi="Arial" w:cs="Arial"/>
        </w:rPr>
        <w:t xml:space="preserve">, zároveň sa </w:t>
      </w:r>
      <w:r w:rsidRPr="005912D6">
        <w:rPr>
          <w:rFonts w:ascii="Arial" w:hAnsi="Arial" w:cs="Arial"/>
        </w:rPr>
        <w:t>členom pracovnej skupiny a účastníkom zasadnutia poďakoval za vstupy a zaviazal sa zdieľať dokument s prioritne určenými témami, za účelom vyjadrenia vôle participovať  na niektorej z úloh pracovnej skupiny alebo vyjadrenia iných návrhov</w:t>
      </w:r>
      <w:r w:rsidR="001F02FE" w:rsidRPr="005912D6">
        <w:rPr>
          <w:rFonts w:ascii="Arial" w:hAnsi="Arial" w:cs="Arial"/>
        </w:rPr>
        <w:t>.</w:t>
      </w:r>
    </w:p>
    <w:p w14:paraId="720F8757" w14:textId="77777777" w:rsidR="00890E8C" w:rsidRPr="005912D6" w:rsidRDefault="00890E8C" w:rsidP="001F02FE">
      <w:pPr>
        <w:pStyle w:val="Odsekzoznamu"/>
        <w:ind w:left="426" w:hanging="426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ab/>
      </w:r>
    </w:p>
    <w:p w14:paraId="37B61C28" w14:textId="2B9E4568" w:rsidR="00890E8C" w:rsidRPr="005912D6" w:rsidRDefault="00890E8C" w:rsidP="005912D6">
      <w:pPr>
        <w:pStyle w:val="Odsekzoznamu"/>
        <w:ind w:left="0"/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 xml:space="preserve">V rámci pracovnej skupiny „verejné obstarávanie IKT“ boli kreované a zdieľané nasledovné témy, ktoré boli označené úrovňou priority: </w:t>
      </w:r>
    </w:p>
    <w:p w14:paraId="64A75773" w14:textId="77777777" w:rsidR="00D546FD" w:rsidRPr="005912D6" w:rsidRDefault="00D546FD" w:rsidP="001F02FE">
      <w:pPr>
        <w:pStyle w:val="Odsekzoznamu"/>
        <w:ind w:left="426" w:hanging="426"/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4345"/>
        <w:gridCol w:w="4290"/>
      </w:tblGrid>
      <w:tr w:rsidR="00890E8C" w:rsidRPr="005912D6" w14:paraId="6C5780E8" w14:textId="77777777" w:rsidTr="00890E8C">
        <w:tc>
          <w:tcPr>
            <w:tcW w:w="4345" w:type="dxa"/>
          </w:tcPr>
          <w:p w14:paraId="2B55B10B" w14:textId="486AFB7D" w:rsidR="00890E8C" w:rsidRPr="005912D6" w:rsidRDefault="00890E8C" w:rsidP="00890E8C">
            <w:pPr>
              <w:pStyle w:val="Odsekzoznamu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b/>
              </w:rPr>
            </w:pPr>
            <w:r w:rsidRPr="005912D6">
              <w:rPr>
                <w:rFonts w:ascii="Arial" w:hAnsi="Arial" w:cs="Arial"/>
                <w:b/>
              </w:rPr>
              <w:t>Téma</w:t>
            </w:r>
          </w:p>
        </w:tc>
        <w:tc>
          <w:tcPr>
            <w:tcW w:w="4291" w:type="dxa"/>
          </w:tcPr>
          <w:p w14:paraId="1175B96F" w14:textId="24917D53" w:rsidR="00890E8C" w:rsidRPr="005912D6" w:rsidRDefault="00890E8C" w:rsidP="00890E8C">
            <w:pPr>
              <w:pStyle w:val="Odsekzoznamu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both"/>
              <w:rPr>
                <w:rFonts w:ascii="Arial" w:hAnsi="Arial" w:cs="Arial"/>
                <w:b/>
              </w:rPr>
            </w:pPr>
            <w:r w:rsidRPr="005912D6">
              <w:rPr>
                <w:rFonts w:ascii="Arial" w:hAnsi="Arial" w:cs="Arial"/>
                <w:b/>
              </w:rPr>
              <w:t>Priorita</w:t>
            </w:r>
          </w:p>
        </w:tc>
      </w:tr>
      <w:tr w:rsidR="00890E8C" w:rsidRPr="005912D6" w14:paraId="27F67EA8" w14:textId="77777777" w:rsidTr="00890E8C">
        <w:tc>
          <w:tcPr>
            <w:tcW w:w="4345" w:type="dxa"/>
          </w:tcPr>
          <w:p w14:paraId="73F93D36" w14:textId="0761C40F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Ekvivalent a jeho používanie vo VO IKT</w:t>
            </w:r>
          </w:p>
        </w:tc>
        <w:tc>
          <w:tcPr>
            <w:tcW w:w="4291" w:type="dxa"/>
          </w:tcPr>
          <w:p w14:paraId="3BAE476A" w14:textId="6DE58B43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1</w:t>
            </w:r>
          </w:p>
        </w:tc>
      </w:tr>
      <w:tr w:rsidR="00890E8C" w:rsidRPr="005912D6" w14:paraId="738210D1" w14:textId="77777777" w:rsidTr="00890E8C">
        <w:tc>
          <w:tcPr>
            <w:tcW w:w="4345" w:type="dxa"/>
          </w:tcPr>
          <w:p w14:paraId="3665C202" w14:textId="47AECC1C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 xml:space="preserve">Kvalita ako kvalifikačné kritérium </w:t>
            </w:r>
          </w:p>
        </w:tc>
        <w:tc>
          <w:tcPr>
            <w:tcW w:w="4291" w:type="dxa"/>
          </w:tcPr>
          <w:p w14:paraId="78D08B6F" w14:textId="17F58EAF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2</w:t>
            </w:r>
          </w:p>
        </w:tc>
      </w:tr>
      <w:tr w:rsidR="00890E8C" w:rsidRPr="005912D6" w14:paraId="58B75DE4" w14:textId="77777777" w:rsidTr="00890E8C">
        <w:tc>
          <w:tcPr>
            <w:tcW w:w="4345" w:type="dxa"/>
          </w:tcPr>
          <w:p w14:paraId="5FCC068E" w14:textId="26B2C7E0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Metodika centrálneho verejného obstarávania</w:t>
            </w:r>
          </w:p>
        </w:tc>
        <w:tc>
          <w:tcPr>
            <w:tcW w:w="4291" w:type="dxa"/>
          </w:tcPr>
          <w:p w14:paraId="31244D54" w14:textId="39CEEE0D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3</w:t>
            </w:r>
          </w:p>
        </w:tc>
      </w:tr>
      <w:tr w:rsidR="00890E8C" w:rsidRPr="005912D6" w14:paraId="7D76735A" w14:textId="77777777" w:rsidTr="00890E8C">
        <w:trPr>
          <w:trHeight w:val="115"/>
        </w:trPr>
        <w:tc>
          <w:tcPr>
            <w:tcW w:w="4345" w:type="dxa"/>
          </w:tcPr>
          <w:p w14:paraId="0D99CD85" w14:textId="2470EF28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Posudzovanie „lock in“</w:t>
            </w:r>
          </w:p>
        </w:tc>
        <w:tc>
          <w:tcPr>
            <w:tcW w:w="4291" w:type="dxa"/>
          </w:tcPr>
          <w:p w14:paraId="606E2B0D" w14:textId="55C64EBF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4</w:t>
            </w:r>
          </w:p>
        </w:tc>
      </w:tr>
      <w:tr w:rsidR="00890E8C" w:rsidRPr="005912D6" w14:paraId="3929FD38" w14:textId="77777777" w:rsidTr="00890E8C">
        <w:trPr>
          <w:trHeight w:val="115"/>
        </w:trPr>
        <w:tc>
          <w:tcPr>
            <w:tcW w:w="4345" w:type="dxa"/>
          </w:tcPr>
          <w:p w14:paraId="640D9D8B" w14:textId="3E670C87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Koncepcia nákupu IT „v2“</w:t>
            </w:r>
          </w:p>
        </w:tc>
        <w:tc>
          <w:tcPr>
            <w:tcW w:w="4291" w:type="dxa"/>
          </w:tcPr>
          <w:p w14:paraId="7961D4B4" w14:textId="09B2F9E7" w:rsidR="00890E8C" w:rsidRPr="005912D6" w:rsidRDefault="00890E8C" w:rsidP="001F02FE">
            <w:pPr>
              <w:pStyle w:val="Odsekzoznamu"/>
              <w:ind w:left="0"/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5</w:t>
            </w:r>
          </w:p>
        </w:tc>
      </w:tr>
    </w:tbl>
    <w:p w14:paraId="1596A524" w14:textId="59385720" w:rsidR="00662819" w:rsidRPr="005912D6" w:rsidRDefault="00662819" w:rsidP="00890E8C">
      <w:pPr>
        <w:jc w:val="both"/>
        <w:rPr>
          <w:rFonts w:ascii="Arial" w:hAnsi="Arial" w:cs="Arial"/>
        </w:rPr>
      </w:pPr>
    </w:p>
    <w:p w14:paraId="68D259CB" w14:textId="79501B2E" w:rsidR="00BF66EF" w:rsidRDefault="00BF66EF" w:rsidP="005912D6">
      <w:pPr>
        <w:tabs>
          <w:tab w:val="left" w:pos="142"/>
        </w:tabs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Pri klasifikácii tém podľa úrovne priority sa vychádzalo zo súčasnej situácie, konkrétne OPII (verejné obstarávania národných a dopytových projektov) a centralizované</w:t>
      </w:r>
      <w:r w:rsidR="008E476D">
        <w:rPr>
          <w:rFonts w:ascii="Arial" w:hAnsi="Arial" w:cs="Arial"/>
        </w:rPr>
        <w:t>ho</w:t>
      </w:r>
      <w:r w:rsidRPr="005912D6">
        <w:rPr>
          <w:rFonts w:ascii="Arial" w:hAnsi="Arial" w:cs="Arial"/>
        </w:rPr>
        <w:t xml:space="preserve"> verejné</w:t>
      </w:r>
      <w:r w:rsidR="008E476D">
        <w:rPr>
          <w:rFonts w:ascii="Arial" w:hAnsi="Arial" w:cs="Arial"/>
        </w:rPr>
        <w:t>ho</w:t>
      </w:r>
      <w:r w:rsidRPr="005912D6">
        <w:rPr>
          <w:rFonts w:ascii="Arial" w:hAnsi="Arial" w:cs="Arial"/>
        </w:rPr>
        <w:t xml:space="preserve"> obstarávani</w:t>
      </w:r>
      <w:r w:rsidR="008E476D">
        <w:rPr>
          <w:rFonts w:ascii="Arial" w:hAnsi="Arial" w:cs="Arial"/>
        </w:rPr>
        <w:t>a</w:t>
      </w:r>
      <w:r w:rsidRPr="005912D6">
        <w:rPr>
          <w:rFonts w:ascii="Arial" w:hAnsi="Arial" w:cs="Arial"/>
        </w:rPr>
        <w:t xml:space="preserve"> uvedené</w:t>
      </w:r>
      <w:r w:rsidR="008E476D">
        <w:rPr>
          <w:rFonts w:ascii="Arial" w:hAnsi="Arial" w:cs="Arial"/>
        </w:rPr>
        <w:t>ho</w:t>
      </w:r>
      <w:r w:rsidRPr="005912D6">
        <w:rPr>
          <w:rFonts w:ascii="Arial" w:hAnsi="Arial" w:cs="Arial"/>
        </w:rPr>
        <w:t xml:space="preserve"> v revízií výdavkov na IT 2.0. </w:t>
      </w:r>
    </w:p>
    <w:p w14:paraId="6F94CB15" w14:textId="11EB2B9E" w:rsidR="00D546FD" w:rsidRDefault="00BF66EF" w:rsidP="005912D6">
      <w:pPr>
        <w:jc w:val="both"/>
        <w:rPr>
          <w:rFonts w:ascii="Arial" w:hAnsi="Arial" w:cs="Arial"/>
        </w:rPr>
      </w:pPr>
      <w:r w:rsidRPr="005912D6">
        <w:rPr>
          <w:rFonts w:ascii="Arial" w:hAnsi="Arial" w:cs="Arial"/>
        </w:rPr>
        <w:t>Zároveň sa v</w:t>
      </w:r>
      <w:r w:rsidR="00D546FD" w:rsidRPr="005912D6">
        <w:rPr>
          <w:rFonts w:ascii="Arial" w:hAnsi="Arial" w:cs="Arial"/>
        </w:rPr>
        <w:t xml:space="preserve"> rámci pripomienkového konania </w:t>
      </w:r>
      <w:r w:rsidRPr="005912D6">
        <w:rPr>
          <w:rFonts w:ascii="Arial" w:hAnsi="Arial" w:cs="Arial"/>
        </w:rPr>
        <w:t>dohodlo</w:t>
      </w:r>
      <w:r w:rsidR="00D546FD" w:rsidRPr="005912D6">
        <w:rPr>
          <w:rFonts w:ascii="Arial" w:hAnsi="Arial" w:cs="Arial"/>
        </w:rPr>
        <w:t>, že nie je nutné</w:t>
      </w:r>
      <w:r w:rsidRPr="005912D6">
        <w:rPr>
          <w:rFonts w:ascii="Arial" w:hAnsi="Arial" w:cs="Arial"/>
        </w:rPr>
        <w:t xml:space="preserve"> sa</w:t>
      </w:r>
      <w:r w:rsidR="00D546FD" w:rsidRPr="005912D6">
        <w:rPr>
          <w:rFonts w:ascii="Arial" w:hAnsi="Arial" w:cs="Arial"/>
        </w:rPr>
        <w:t xml:space="preserve"> explicitne venovať témam v</w:t>
      </w:r>
      <w:r w:rsidR="008E476D">
        <w:rPr>
          <w:rFonts w:ascii="Arial" w:hAnsi="Arial" w:cs="Arial"/>
        </w:rPr>
        <w:t xml:space="preserve"> časovom</w:t>
      </w:r>
      <w:r w:rsidR="00D546FD" w:rsidRPr="005912D6">
        <w:rPr>
          <w:rFonts w:ascii="Arial" w:hAnsi="Arial" w:cs="Arial"/>
        </w:rPr>
        <w:t> harmonograme podľa úrovne priorít, niektoré témy je možné</w:t>
      </w:r>
      <w:r w:rsidRPr="005912D6">
        <w:rPr>
          <w:rFonts w:ascii="Arial" w:hAnsi="Arial" w:cs="Arial"/>
        </w:rPr>
        <w:t xml:space="preserve"> riešiť aj súbežne</w:t>
      </w:r>
      <w:r w:rsidR="00D546FD" w:rsidRPr="005912D6">
        <w:rPr>
          <w:rFonts w:ascii="Arial" w:hAnsi="Arial" w:cs="Arial"/>
        </w:rPr>
        <w:t>.</w:t>
      </w:r>
      <w:r w:rsidRPr="005912D6">
        <w:rPr>
          <w:rFonts w:ascii="Arial" w:hAnsi="Arial" w:cs="Arial"/>
        </w:rPr>
        <w:t xml:space="preserve"> </w:t>
      </w:r>
    </w:p>
    <w:p w14:paraId="61735B5D" w14:textId="70080F97" w:rsidR="00D546FD" w:rsidRPr="005912D6" w:rsidRDefault="00D546FD" w:rsidP="005912D6">
      <w:pPr>
        <w:jc w:val="both"/>
        <w:rPr>
          <w:rFonts w:ascii="Arial" w:hAnsi="Arial" w:cs="Arial"/>
        </w:rPr>
      </w:pPr>
      <w:r w:rsidRPr="005912D6">
        <w:rPr>
          <w:rFonts w:ascii="Arial" w:hAnsi="Arial" w:cs="Arial"/>
          <w:b/>
        </w:rPr>
        <w:t>Príkladom je práca na „Koncepcii nákupu IT „v2“, ktorej obsah bude aj rozpracovaním jednotlivých tém</w:t>
      </w:r>
      <w:r w:rsidR="00BF66EF" w:rsidRPr="005912D6">
        <w:rPr>
          <w:rFonts w:ascii="Arial" w:hAnsi="Arial" w:cs="Arial"/>
          <w:b/>
        </w:rPr>
        <w:t xml:space="preserve"> priamo alebo nepriamo</w:t>
      </w:r>
      <w:r w:rsidRPr="005912D6">
        <w:rPr>
          <w:rFonts w:ascii="Arial" w:hAnsi="Arial" w:cs="Arial"/>
          <w:b/>
        </w:rPr>
        <w:t xml:space="preserve"> menený</w:t>
      </w:r>
      <w:r w:rsidR="00BF66EF" w:rsidRPr="005912D6">
        <w:rPr>
          <w:rFonts w:ascii="Arial" w:hAnsi="Arial" w:cs="Arial"/>
          <w:b/>
        </w:rPr>
        <w:t>. Aj napriek klasifikácii úrovňou priority 5, bude „koncepcia nákupu IT v2“</w:t>
      </w:r>
      <w:r w:rsidRPr="005912D6">
        <w:rPr>
          <w:rFonts w:ascii="Arial" w:hAnsi="Arial" w:cs="Arial"/>
          <w:b/>
        </w:rPr>
        <w:t xml:space="preserve"> </w:t>
      </w:r>
      <w:r w:rsidR="00BF66EF" w:rsidRPr="005912D6">
        <w:rPr>
          <w:rFonts w:ascii="Arial" w:hAnsi="Arial" w:cs="Arial"/>
          <w:b/>
        </w:rPr>
        <w:t>súbežne</w:t>
      </w:r>
      <w:r w:rsidRPr="005912D6">
        <w:rPr>
          <w:rFonts w:ascii="Arial" w:hAnsi="Arial" w:cs="Arial"/>
          <w:b/>
        </w:rPr>
        <w:t xml:space="preserve"> predmetom disku</w:t>
      </w:r>
      <w:r w:rsidR="008E476D">
        <w:rPr>
          <w:rFonts w:ascii="Arial" w:hAnsi="Arial" w:cs="Arial"/>
          <w:b/>
        </w:rPr>
        <w:t xml:space="preserve">sie. </w:t>
      </w:r>
    </w:p>
    <w:sectPr w:rsidR="00D546FD" w:rsidRPr="005912D6" w:rsidSect="005912D6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7B259" w14:textId="77777777" w:rsidR="00F95ACF" w:rsidRDefault="00F95ACF" w:rsidP="00693ED0">
      <w:pPr>
        <w:spacing w:after="0" w:line="240" w:lineRule="auto"/>
      </w:pPr>
      <w:r>
        <w:separator/>
      </w:r>
    </w:p>
  </w:endnote>
  <w:endnote w:type="continuationSeparator" w:id="0">
    <w:p w14:paraId="052D4B09" w14:textId="77777777" w:rsidR="00F95ACF" w:rsidRDefault="00F95ACF" w:rsidP="006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18211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4C575F6" w14:textId="02A1A346" w:rsidR="00693ED0" w:rsidRPr="001F02FE" w:rsidRDefault="00693ED0">
        <w:pPr>
          <w:pStyle w:val="Pta"/>
          <w:jc w:val="center"/>
          <w:rPr>
            <w:rFonts w:ascii="Arial" w:hAnsi="Arial" w:cs="Arial"/>
            <w:sz w:val="20"/>
            <w:szCs w:val="20"/>
          </w:rPr>
        </w:pPr>
        <w:r w:rsidRPr="001F02FE">
          <w:rPr>
            <w:rFonts w:ascii="Arial" w:hAnsi="Arial" w:cs="Arial"/>
            <w:sz w:val="20"/>
            <w:szCs w:val="20"/>
          </w:rPr>
          <w:fldChar w:fldCharType="begin"/>
        </w:r>
        <w:r w:rsidRPr="001F02FE">
          <w:rPr>
            <w:rFonts w:ascii="Arial" w:hAnsi="Arial" w:cs="Arial"/>
            <w:sz w:val="20"/>
            <w:szCs w:val="20"/>
          </w:rPr>
          <w:instrText>PAGE   \* MERGEFORMAT</w:instrText>
        </w:r>
        <w:r w:rsidRPr="001F02FE">
          <w:rPr>
            <w:rFonts w:ascii="Arial" w:hAnsi="Arial" w:cs="Arial"/>
            <w:sz w:val="20"/>
            <w:szCs w:val="20"/>
          </w:rPr>
          <w:fldChar w:fldCharType="separate"/>
        </w:r>
        <w:r w:rsidR="00C94496">
          <w:rPr>
            <w:rFonts w:ascii="Arial" w:hAnsi="Arial" w:cs="Arial"/>
            <w:noProof/>
            <w:sz w:val="20"/>
            <w:szCs w:val="20"/>
          </w:rPr>
          <w:t>4</w:t>
        </w:r>
        <w:r w:rsidRPr="001F02F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370C17" w14:textId="77777777" w:rsidR="00693ED0" w:rsidRDefault="00693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3E871" w14:textId="77777777" w:rsidR="00F95ACF" w:rsidRDefault="00F95ACF" w:rsidP="00693ED0">
      <w:pPr>
        <w:spacing w:after="0" w:line="240" w:lineRule="auto"/>
      </w:pPr>
      <w:r>
        <w:separator/>
      </w:r>
    </w:p>
  </w:footnote>
  <w:footnote w:type="continuationSeparator" w:id="0">
    <w:p w14:paraId="028F1431" w14:textId="77777777" w:rsidR="00F95ACF" w:rsidRDefault="00F95ACF" w:rsidP="006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B320E"/>
    <w:multiLevelType w:val="hybridMultilevel"/>
    <w:tmpl w:val="0024A138"/>
    <w:lvl w:ilvl="0" w:tplc="313E69EC">
      <w:start w:val="8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905B4"/>
    <w:multiLevelType w:val="hybridMultilevel"/>
    <w:tmpl w:val="790AFF22"/>
    <w:lvl w:ilvl="0" w:tplc="663A29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E75CC"/>
    <w:multiLevelType w:val="hybridMultilevel"/>
    <w:tmpl w:val="94D07074"/>
    <w:lvl w:ilvl="0" w:tplc="8188DDA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DE65776"/>
    <w:multiLevelType w:val="hybridMultilevel"/>
    <w:tmpl w:val="13D2CB9C"/>
    <w:lvl w:ilvl="0" w:tplc="694E3EF2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24617BC"/>
    <w:multiLevelType w:val="hybridMultilevel"/>
    <w:tmpl w:val="9C9EFE3E"/>
    <w:lvl w:ilvl="0" w:tplc="FE4674A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9F24F93"/>
    <w:multiLevelType w:val="hybridMultilevel"/>
    <w:tmpl w:val="09D6B814"/>
    <w:lvl w:ilvl="0" w:tplc="87764C36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8651A6"/>
    <w:multiLevelType w:val="hybridMultilevel"/>
    <w:tmpl w:val="3362A60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9398D"/>
    <w:multiLevelType w:val="hybridMultilevel"/>
    <w:tmpl w:val="D0AA8A3C"/>
    <w:lvl w:ilvl="0" w:tplc="8CB476D8">
      <w:start w:val="1"/>
      <w:numFmt w:val="lowerLetter"/>
      <w:lvlText w:val="%1)"/>
      <w:lvlJc w:val="left"/>
      <w:pPr>
        <w:ind w:left="64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2" w:hanging="360"/>
      </w:pPr>
    </w:lvl>
    <w:lvl w:ilvl="2" w:tplc="041B001B" w:tentative="1">
      <w:start w:val="1"/>
      <w:numFmt w:val="lowerRoman"/>
      <w:lvlText w:val="%3."/>
      <w:lvlJc w:val="right"/>
      <w:pPr>
        <w:ind w:left="2082" w:hanging="180"/>
      </w:pPr>
    </w:lvl>
    <w:lvl w:ilvl="3" w:tplc="041B000F" w:tentative="1">
      <w:start w:val="1"/>
      <w:numFmt w:val="decimal"/>
      <w:lvlText w:val="%4."/>
      <w:lvlJc w:val="left"/>
      <w:pPr>
        <w:ind w:left="2802" w:hanging="360"/>
      </w:pPr>
    </w:lvl>
    <w:lvl w:ilvl="4" w:tplc="041B0019" w:tentative="1">
      <w:start w:val="1"/>
      <w:numFmt w:val="lowerLetter"/>
      <w:lvlText w:val="%5."/>
      <w:lvlJc w:val="left"/>
      <w:pPr>
        <w:ind w:left="3522" w:hanging="360"/>
      </w:pPr>
    </w:lvl>
    <w:lvl w:ilvl="5" w:tplc="041B001B" w:tentative="1">
      <w:start w:val="1"/>
      <w:numFmt w:val="lowerRoman"/>
      <w:lvlText w:val="%6."/>
      <w:lvlJc w:val="right"/>
      <w:pPr>
        <w:ind w:left="4242" w:hanging="180"/>
      </w:pPr>
    </w:lvl>
    <w:lvl w:ilvl="6" w:tplc="041B000F" w:tentative="1">
      <w:start w:val="1"/>
      <w:numFmt w:val="decimal"/>
      <w:lvlText w:val="%7."/>
      <w:lvlJc w:val="left"/>
      <w:pPr>
        <w:ind w:left="4962" w:hanging="360"/>
      </w:pPr>
    </w:lvl>
    <w:lvl w:ilvl="7" w:tplc="041B0019" w:tentative="1">
      <w:start w:val="1"/>
      <w:numFmt w:val="lowerLetter"/>
      <w:lvlText w:val="%8."/>
      <w:lvlJc w:val="left"/>
      <w:pPr>
        <w:ind w:left="5682" w:hanging="360"/>
      </w:pPr>
    </w:lvl>
    <w:lvl w:ilvl="8" w:tplc="041B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8B"/>
    <w:rsid w:val="00022FB7"/>
    <w:rsid w:val="00044C55"/>
    <w:rsid w:val="00065803"/>
    <w:rsid w:val="000E1EBF"/>
    <w:rsid w:val="000E3EE1"/>
    <w:rsid w:val="00177AB1"/>
    <w:rsid w:val="001E5328"/>
    <w:rsid w:val="001F02FE"/>
    <w:rsid w:val="00227515"/>
    <w:rsid w:val="00272BFD"/>
    <w:rsid w:val="002E4F14"/>
    <w:rsid w:val="002F0A06"/>
    <w:rsid w:val="002F6D92"/>
    <w:rsid w:val="00376CF7"/>
    <w:rsid w:val="00384160"/>
    <w:rsid w:val="00390EE2"/>
    <w:rsid w:val="003E400D"/>
    <w:rsid w:val="00425B1C"/>
    <w:rsid w:val="004470D8"/>
    <w:rsid w:val="00454530"/>
    <w:rsid w:val="004552B0"/>
    <w:rsid w:val="004B2370"/>
    <w:rsid w:val="005326DF"/>
    <w:rsid w:val="00565AE8"/>
    <w:rsid w:val="005912D6"/>
    <w:rsid w:val="005C54F2"/>
    <w:rsid w:val="005E0BDF"/>
    <w:rsid w:val="00662819"/>
    <w:rsid w:val="006665C3"/>
    <w:rsid w:val="0068221C"/>
    <w:rsid w:val="00682533"/>
    <w:rsid w:val="0068382E"/>
    <w:rsid w:val="00693ED0"/>
    <w:rsid w:val="006A5898"/>
    <w:rsid w:val="00734DB8"/>
    <w:rsid w:val="007C6B04"/>
    <w:rsid w:val="00803F93"/>
    <w:rsid w:val="008563B2"/>
    <w:rsid w:val="00873216"/>
    <w:rsid w:val="00890E8C"/>
    <w:rsid w:val="008B53F1"/>
    <w:rsid w:val="008E476D"/>
    <w:rsid w:val="00A00DBF"/>
    <w:rsid w:val="00A4138B"/>
    <w:rsid w:val="00A5511D"/>
    <w:rsid w:val="00A81E51"/>
    <w:rsid w:val="00A87FCE"/>
    <w:rsid w:val="00B210ED"/>
    <w:rsid w:val="00BF140F"/>
    <w:rsid w:val="00BF66EF"/>
    <w:rsid w:val="00C82CF3"/>
    <w:rsid w:val="00C94496"/>
    <w:rsid w:val="00D4149D"/>
    <w:rsid w:val="00D546FD"/>
    <w:rsid w:val="00D62EA6"/>
    <w:rsid w:val="00D636C5"/>
    <w:rsid w:val="00D771CF"/>
    <w:rsid w:val="00DB74AC"/>
    <w:rsid w:val="00E20F73"/>
    <w:rsid w:val="00E25063"/>
    <w:rsid w:val="00E55A72"/>
    <w:rsid w:val="00E63416"/>
    <w:rsid w:val="00EA14FA"/>
    <w:rsid w:val="00EA3BC2"/>
    <w:rsid w:val="00EA57C1"/>
    <w:rsid w:val="00EE7619"/>
    <w:rsid w:val="00F12344"/>
    <w:rsid w:val="00F23F28"/>
    <w:rsid w:val="00F9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A0F6"/>
  <w15:chartTrackingRefBased/>
  <w15:docId w15:val="{BF2C3CE2-6E25-4D5E-A174-2148CEB1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138B"/>
    <w:pPr>
      <w:ind w:left="720"/>
      <w:contextualSpacing/>
    </w:pPr>
  </w:style>
  <w:style w:type="table" w:styleId="Mriekatabuky">
    <w:name w:val="Table Grid"/>
    <w:basedOn w:val="Normlnatabuka"/>
    <w:uiPriority w:val="39"/>
    <w:rsid w:val="00A55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F6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6D9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3ED0"/>
  </w:style>
  <w:style w:type="paragraph" w:styleId="Pta">
    <w:name w:val="footer"/>
    <w:basedOn w:val="Normlny"/>
    <w:link w:val="Pt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3ED0"/>
  </w:style>
  <w:style w:type="character" w:styleId="Hypertextovprepojenie">
    <w:name w:val="Hyperlink"/>
    <w:basedOn w:val="Predvolenpsmoodseku"/>
    <w:uiPriority w:val="99"/>
    <w:unhideWhenUsed/>
    <w:rsid w:val="001F02FE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B210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210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210E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210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210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mfsr.sk/sk/medzinarodne-vztahy/europske-zalezitosti/program-podporu-strukturalnych-reforiem-srsp/uspesne-ziadosti-programu-srsp-oktober-2018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CTYWSUCD3UHA-405917165-162</_dlc_DocId>
    <_dlc_DocIdUrl xmlns="af457a4c-de28-4d38-bda9-e56a61b168cd">
      <Url>https://sp.vicepremier.gov.sk/verejne-obstaravanie-IKT/_layouts/15/DocIdRedir.aspx?ID=CTYWSUCD3UHA-405917165-162</Url>
      <Description>CTYWSUCD3UHA-405917165-162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5E4F9E4-EC8F-4D0E-95A5-D7802887F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416E22-BAF1-4D97-A2B3-2C32A9E40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30BDB-84F7-47A9-BB12-3F9C04D74692}"/>
</file>

<file path=customXml/itemProps4.xml><?xml version="1.0" encoding="utf-8"?>
<ds:datastoreItem xmlns:ds="http://schemas.openxmlformats.org/officeDocument/2006/customXml" ds:itemID="{4805E6BA-3584-4EC6-9DC5-FF61A76F73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FLAW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Hodossy</dc:creator>
  <cp:keywords/>
  <dc:description/>
  <cp:lastModifiedBy>KH</cp:lastModifiedBy>
  <cp:revision>2</cp:revision>
  <dcterms:created xsi:type="dcterms:W3CDTF">2020-11-11T12:32:00Z</dcterms:created>
  <dcterms:modified xsi:type="dcterms:W3CDTF">2020-11-11T12:32:00Z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a3e8ba7a-9330-41d8-88a3-e1de44459146</vt:lpwstr>
  </property>
</Properties>
</file>