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27" w:type="dxa"/>
        <w:tblInd w:w="-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5"/>
        <w:gridCol w:w="2852"/>
      </w:tblGrid>
      <w:tr w:rsidR="00AE31A5" w:rsidRPr="00914E59" w:rsidTr="00EA605F">
        <w:trPr>
          <w:trHeight w:val="280"/>
        </w:trPr>
        <w:tc>
          <w:tcPr>
            <w:tcW w:w="9827" w:type="dxa"/>
            <w:gridSpan w:val="2"/>
            <w:shd w:val="clear" w:color="auto" w:fill="FFD966" w:themeFill="accent4" w:themeFillTint="99"/>
          </w:tcPr>
          <w:p w:rsidR="00AE31A5" w:rsidRPr="00914E59" w:rsidRDefault="0044119D" w:rsidP="00316191">
            <w:pPr>
              <w:spacing w:after="60" w:line="264" w:lineRule="auto"/>
              <w:rPr>
                <w:rFonts w:cstheme="minorHAnsi"/>
                <w:b/>
                <w:szCs w:val="20"/>
                <w:lang w:val="sk-SK"/>
              </w:rPr>
            </w:pPr>
            <w:r w:rsidRPr="00914E59">
              <w:rPr>
                <w:rFonts w:cstheme="minorHAnsi"/>
                <w:b/>
                <w:szCs w:val="20"/>
                <w:lang w:val="sk-SK"/>
              </w:rPr>
              <w:t>Dátum</w:t>
            </w:r>
            <w:r w:rsidR="00AE31A5" w:rsidRPr="00914E59">
              <w:rPr>
                <w:rFonts w:cstheme="minorHAnsi"/>
                <w:b/>
                <w:szCs w:val="20"/>
                <w:lang w:val="sk-SK"/>
              </w:rPr>
              <w:t xml:space="preserve">: </w:t>
            </w:r>
            <w:r w:rsidRPr="00914E59">
              <w:rPr>
                <w:rFonts w:cstheme="minorHAnsi"/>
                <w:b/>
                <w:szCs w:val="20"/>
                <w:lang w:val="sk-SK"/>
              </w:rPr>
              <w:t>10.4.2018</w:t>
            </w:r>
          </w:p>
          <w:p w:rsidR="00AE31A5" w:rsidRPr="00914E59" w:rsidRDefault="0044119D" w:rsidP="00316191">
            <w:pPr>
              <w:spacing w:after="60" w:line="264" w:lineRule="auto"/>
              <w:rPr>
                <w:rFonts w:cstheme="minorHAnsi"/>
                <w:b/>
                <w:szCs w:val="20"/>
                <w:lang w:val="sk-SK"/>
              </w:rPr>
            </w:pPr>
            <w:r w:rsidRPr="00914E59">
              <w:rPr>
                <w:rFonts w:cstheme="minorHAnsi"/>
                <w:b/>
                <w:szCs w:val="20"/>
                <w:lang w:val="sk-SK"/>
              </w:rPr>
              <w:t>Miesto</w:t>
            </w:r>
            <w:r w:rsidR="00AE31A5" w:rsidRPr="00914E59">
              <w:rPr>
                <w:rFonts w:cstheme="minorHAnsi"/>
                <w:b/>
                <w:szCs w:val="20"/>
                <w:lang w:val="sk-SK"/>
              </w:rPr>
              <w:t xml:space="preserve">: </w:t>
            </w:r>
            <w:r w:rsidRPr="00914E59">
              <w:rPr>
                <w:rFonts w:cstheme="minorHAnsi"/>
                <w:b/>
                <w:szCs w:val="20"/>
                <w:lang w:val="sk-SK"/>
              </w:rPr>
              <w:t>ÚPVII</w:t>
            </w:r>
          </w:p>
          <w:p w:rsidR="00AE31A5" w:rsidRPr="00914E59" w:rsidRDefault="00B46542" w:rsidP="00316191">
            <w:pPr>
              <w:spacing w:after="60" w:line="264" w:lineRule="auto"/>
              <w:rPr>
                <w:rFonts w:cstheme="minorHAnsi"/>
                <w:b/>
                <w:sz w:val="22"/>
                <w:szCs w:val="20"/>
                <w:lang w:val="sk-SK"/>
              </w:rPr>
            </w:pPr>
            <w:r w:rsidRPr="00914E59">
              <w:rPr>
                <w:rFonts w:cstheme="minorHAnsi"/>
                <w:b/>
                <w:szCs w:val="20"/>
                <w:lang w:val="sk-SK"/>
              </w:rPr>
              <w:t xml:space="preserve">Prítomní: </w:t>
            </w:r>
            <w:r w:rsidR="0021784F" w:rsidRPr="00914E59">
              <w:rPr>
                <w:rFonts w:cstheme="minorHAnsi"/>
                <w:b/>
                <w:szCs w:val="20"/>
                <w:lang w:val="sk-SK"/>
              </w:rPr>
              <w:t xml:space="preserve">viď </w:t>
            </w:r>
            <w:proofErr w:type="spellStart"/>
            <w:r w:rsidR="0021784F" w:rsidRPr="00914E59">
              <w:rPr>
                <w:rFonts w:cstheme="minorHAnsi"/>
                <w:b/>
                <w:szCs w:val="20"/>
                <w:lang w:val="sk-SK"/>
              </w:rPr>
              <w:t>scan</w:t>
            </w:r>
            <w:proofErr w:type="spellEnd"/>
            <w:r w:rsidR="0021784F" w:rsidRPr="00914E59">
              <w:rPr>
                <w:rFonts w:cstheme="minorHAnsi"/>
                <w:b/>
                <w:szCs w:val="20"/>
                <w:lang w:val="sk-SK"/>
              </w:rPr>
              <w:t xml:space="preserve"> pre</w:t>
            </w:r>
            <w:r w:rsidR="00CD3D26" w:rsidRPr="00914E59">
              <w:rPr>
                <w:rFonts w:cstheme="minorHAnsi"/>
                <w:b/>
                <w:szCs w:val="20"/>
                <w:lang w:val="sk-SK"/>
              </w:rPr>
              <w:t>zenčnej listiny</w:t>
            </w:r>
          </w:p>
        </w:tc>
      </w:tr>
      <w:tr w:rsidR="00316191" w:rsidRPr="00914E59" w:rsidTr="00316191">
        <w:trPr>
          <w:trHeight w:val="280"/>
        </w:trPr>
        <w:tc>
          <w:tcPr>
            <w:tcW w:w="6975" w:type="dxa"/>
          </w:tcPr>
          <w:p w:rsidR="0044119D" w:rsidRPr="00914E59" w:rsidRDefault="0044119D" w:rsidP="00AE31A5">
            <w:pPr>
              <w:spacing w:after="40" w:line="264" w:lineRule="auto"/>
              <w:jc w:val="both"/>
              <w:rPr>
                <w:rFonts w:cstheme="minorHAnsi"/>
                <w:b/>
                <w:szCs w:val="20"/>
                <w:lang w:val="sk-SK"/>
              </w:rPr>
            </w:pPr>
          </w:p>
          <w:p w:rsidR="00AE31A5" w:rsidRPr="00914E59" w:rsidRDefault="00F41A9E" w:rsidP="00AE31A5">
            <w:pPr>
              <w:spacing w:after="40" w:line="264" w:lineRule="auto"/>
              <w:jc w:val="both"/>
              <w:rPr>
                <w:rFonts w:cstheme="minorHAnsi"/>
                <w:b/>
                <w:szCs w:val="20"/>
                <w:lang w:val="sk-SK"/>
              </w:rPr>
            </w:pPr>
            <w:r w:rsidRPr="00914E59">
              <w:rPr>
                <w:rFonts w:cstheme="minorHAnsi"/>
                <w:b/>
                <w:szCs w:val="20"/>
                <w:lang w:val="sk-SK"/>
              </w:rPr>
              <w:t>Úvodné zhrnutie vedúceho PS</w:t>
            </w:r>
            <w:r w:rsidR="00AE31A5" w:rsidRPr="00914E59">
              <w:rPr>
                <w:rFonts w:cstheme="minorHAnsi"/>
                <w:b/>
                <w:szCs w:val="20"/>
                <w:lang w:val="sk-SK"/>
              </w:rPr>
              <w:t>:</w:t>
            </w:r>
          </w:p>
          <w:p w:rsidR="00AE31A5" w:rsidRPr="00914E59" w:rsidRDefault="00AE31A5" w:rsidP="00AE31A5">
            <w:pPr>
              <w:spacing w:after="40" w:line="264" w:lineRule="auto"/>
              <w:jc w:val="both"/>
              <w:rPr>
                <w:rFonts w:cstheme="minorHAnsi"/>
                <w:b/>
                <w:szCs w:val="20"/>
                <w:lang w:val="sk-SK"/>
              </w:rPr>
            </w:pPr>
          </w:p>
          <w:p w:rsidR="00316191" w:rsidRPr="00914E59" w:rsidRDefault="0044119D" w:rsidP="00316191">
            <w:pPr>
              <w:pStyle w:val="ListParagraph"/>
              <w:numPr>
                <w:ilvl w:val="0"/>
                <w:numId w:val="1"/>
              </w:numPr>
              <w:spacing w:after="40" w:line="264" w:lineRule="auto"/>
              <w:ind w:left="340" w:hanging="340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14E59">
              <w:rPr>
                <w:rFonts w:asciiTheme="minorHAnsi" w:hAnsiTheme="minorHAnsi" w:cstheme="minorHAnsi"/>
                <w:b/>
                <w:szCs w:val="20"/>
              </w:rPr>
              <w:t xml:space="preserve">Peter </w:t>
            </w:r>
            <w:proofErr w:type="spellStart"/>
            <w:r w:rsidRPr="00914E59">
              <w:rPr>
                <w:rFonts w:asciiTheme="minorHAnsi" w:hAnsiTheme="minorHAnsi" w:cstheme="minorHAnsi"/>
                <w:b/>
                <w:szCs w:val="20"/>
              </w:rPr>
              <w:t>Helexa</w:t>
            </w:r>
            <w:proofErr w:type="spellEnd"/>
            <w:r w:rsidRPr="00914E59">
              <w:rPr>
                <w:rFonts w:asciiTheme="minorHAnsi" w:hAnsiTheme="minorHAnsi" w:cstheme="minorHAnsi"/>
                <w:b/>
                <w:szCs w:val="20"/>
              </w:rPr>
              <w:t xml:space="preserve"> prezentoval </w:t>
            </w:r>
            <w:r w:rsidR="00603D88" w:rsidRPr="00914E59">
              <w:rPr>
                <w:rFonts w:asciiTheme="minorHAnsi" w:hAnsiTheme="minorHAnsi" w:cstheme="minorHAnsi"/>
                <w:b/>
                <w:szCs w:val="20"/>
              </w:rPr>
              <w:t>požiadavky na pracovnú skupinu zo strany UPVII</w:t>
            </w:r>
          </w:p>
          <w:p w:rsidR="00316191" w:rsidRPr="00914E59" w:rsidRDefault="001F6911" w:rsidP="00EE66E4">
            <w:pPr>
              <w:pStyle w:val="ListParagraph"/>
              <w:numPr>
                <w:ilvl w:val="0"/>
                <w:numId w:val="3"/>
              </w:numPr>
              <w:spacing w:line="264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Vi</w:t>
            </w:r>
            <w:r w:rsidR="00EE66E4" w:rsidRPr="00914E59">
              <w:rPr>
                <w:rFonts w:asciiTheme="minorHAnsi" w:hAnsiTheme="minorHAnsi" w:cstheme="minorHAnsi"/>
                <w:szCs w:val="20"/>
              </w:rPr>
              <w:t>ď dokument „</w:t>
            </w:r>
            <w:proofErr w:type="spellStart"/>
            <w:r w:rsidR="00EE66E4" w:rsidRPr="00914E59">
              <w:rPr>
                <w:rFonts w:asciiTheme="minorHAnsi" w:hAnsiTheme="minorHAnsi" w:cstheme="minorHAnsi"/>
                <w:szCs w:val="20"/>
              </w:rPr>
              <w:t>Plan</w:t>
            </w:r>
            <w:proofErr w:type="spellEnd"/>
            <w:r w:rsidR="00EE66E4" w:rsidRPr="00914E59">
              <w:rPr>
                <w:rFonts w:asciiTheme="minorHAnsi" w:hAnsiTheme="minorHAnsi" w:cstheme="minorHAnsi"/>
                <w:szCs w:val="20"/>
              </w:rPr>
              <w:t xml:space="preserve"> prace PS </w:t>
            </w:r>
            <w:proofErr w:type="spellStart"/>
            <w:r w:rsidR="00EE66E4" w:rsidRPr="00914E59">
              <w:rPr>
                <w:rFonts w:asciiTheme="minorHAnsi" w:hAnsiTheme="minorHAnsi" w:cstheme="minorHAnsi"/>
                <w:szCs w:val="20"/>
              </w:rPr>
              <w:t>GandD</w:t>
            </w:r>
            <w:proofErr w:type="spellEnd"/>
            <w:r w:rsidR="00EE66E4" w:rsidRPr="00914E59">
              <w:rPr>
                <w:rFonts w:asciiTheme="minorHAnsi" w:hAnsiTheme="minorHAnsi" w:cstheme="minorHAnsi"/>
                <w:szCs w:val="20"/>
              </w:rPr>
              <w:t xml:space="preserve"> v4.xlsx“</w:t>
            </w:r>
          </w:p>
          <w:p w:rsidR="00EE66E4" w:rsidRPr="00914E59" w:rsidRDefault="00EE66E4" w:rsidP="00EE66E4">
            <w:pPr>
              <w:pStyle w:val="ListParagraph"/>
              <w:spacing w:line="264" w:lineRule="auto"/>
              <w:ind w:left="720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16191" w:rsidRPr="00914E59" w:rsidRDefault="00EE66E4" w:rsidP="00EE66E4">
            <w:pPr>
              <w:pStyle w:val="ListParagraph"/>
              <w:numPr>
                <w:ilvl w:val="0"/>
                <w:numId w:val="1"/>
              </w:numPr>
              <w:spacing w:after="40" w:line="264" w:lineRule="auto"/>
              <w:ind w:left="34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b/>
                <w:szCs w:val="20"/>
              </w:rPr>
              <w:t>Emil Fitoš si vyžiadal od prítomných členov názor na hlavné riziká informatizácie:</w:t>
            </w:r>
          </w:p>
          <w:p w:rsidR="00EE66E4" w:rsidRPr="00914E59" w:rsidRDefault="00EE66E4" w:rsidP="00EE66E4">
            <w:pPr>
              <w:spacing w:line="264" w:lineRule="auto"/>
              <w:ind w:left="340"/>
              <w:jc w:val="both"/>
              <w:rPr>
                <w:rFonts w:cstheme="minorHAnsi"/>
                <w:sz w:val="20"/>
                <w:szCs w:val="20"/>
                <w:u w:val="single"/>
                <w:lang w:val="sk-SK"/>
              </w:rPr>
            </w:pPr>
            <w:r w:rsidRPr="00914E59">
              <w:rPr>
                <w:rFonts w:cstheme="minorHAnsi"/>
                <w:sz w:val="20"/>
                <w:szCs w:val="20"/>
                <w:u w:val="single"/>
                <w:lang w:val="sk-SK"/>
              </w:rPr>
              <w:t>Oblasť riadenia: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Chýbajúce zosúladenie na úrovni jednotlivých aktivít akčného plánu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 xml:space="preserve">Doba realizácie </w:t>
            </w:r>
            <w:r w:rsidR="009F3B21" w:rsidRPr="00914E59">
              <w:rPr>
                <w:rFonts w:asciiTheme="minorHAnsi" w:hAnsiTheme="minorHAnsi" w:cstheme="minorHAnsi"/>
                <w:szCs w:val="20"/>
              </w:rPr>
              <w:t>projektov</w:t>
            </w:r>
            <w:r w:rsidRPr="006B71C4">
              <w:rPr>
                <w:rFonts w:asciiTheme="minorHAnsi" w:hAnsiTheme="minorHAnsi" w:cstheme="minorHAnsi"/>
                <w:szCs w:val="20"/>
              </w:rPr>
              <w:t xml:space="preserve"> - príliš dlho trvá než projekt dosiahne výsledok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Edukácia užívateľa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 xml:space="preserve">Formálna, nie reálna snaha o zlepšenie biznis procesov, ktoré mali byť </w:t>
            </w:r>
            <w:proofErr w:type="spellStart"/>
            <w:r w:rsidRPr="006B71C4">
              <w:rPr>
                <w:rFonts w:asciiTheme="minorHAnsi" w:hAnsiTheme="minorHAnsi" w:cstheme="minorHAnsi"/>
                <w:szCs w:val="20"/>
              </w:rPr>
              <w:t>informatizované</w:t>
            </w:r>
            <w:proofErr w:type="spellEnd"/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Harmonogram nasadzovania služieb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="Calibri" w:eastAsia="Times New Roman" w:hAnsi="Calibri"/>
                <w:color w:val="000000"/>
              </w:rPr>
              <w:t xml:space="preserve">Komplikovaný systém riadenia EŠIF projektov (vrátane </w:t>
            </w:r>
            <w:r w:rsidRPr="006B71C4">
              <w:rPr>
                <w:rFonts w:asciiTheme="minorHAnsi" w:hAnsiTheme="minorHAnsi" w:cstheme="minorHAnsi"/>
                <w:szCs w:val="20"/>
              </w:rPr>
              <w:t>nedodržiavania termínov)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Komplikovaný systém verejného obstarávania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Koordinácia procesov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Nedefinovaný (nejasný) cieľ v oblasti žiadaných služieb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Nedostatočné centrálne riadenie zo strany UPVII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Nedostatočné riadenie programového portfólia na úrovni informatizácie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Neexistencia jasnej vízie koordinácie a riadenia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Nejasná vízia (čo má občan čakať ?)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6B71C4">
              <w:rPr>
                <w:rFonts w:asciiTheme="minorHAnsi" w:hAnsiTheme="minorHAnsi" w:cstheme="minorHAnsi"/>
                <w:szCs w:val="20"/>
              </w:rPr>
              <w:t>Nekoordinácia</w:t>
            </w:r>
            <w:proofErr w:type="spellEnd"/>
            <w:r w:rsidRPr="006B71C4">
              <w:rPr>
                <w:rFonts w:asciiTheme="minorHAnsi" w:hAnsiTheme="minorHAnsi" w:cstheme="minorHAnsi"/>
                <w:szCs w:val="20"/>
              </w:rPr>
              <w:t>, neschopnosť riadiť projekty, realizovať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Nesúlad cieľa s reálnou potrebou občan / spoločnosť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 xml:space="preserve">Slabý </w:t>
            </w:r>
            <w:proofErr w:type="spellStart"/>
            <w:r w:rsidRPr="006B71C4">
              <w:rPr>
                <w:rFonts w:asciiTheme="minorHAnsi" w:hAnsiTheme="minorHAnsi" w:cstheme="minorHAnsi"/>
                <w:szCs w:val="20"/>
              </w:rPr>
              <w:t>focus</w:t>
            </w:r>
            <w:proofErr w:type="spellEnd"/>
            <w:r w:rsidRPr="006B71C4">
              <w:rPr>
                <w:rFonts w:asciiTheme="minorHAnsi" w:hAnsiTheme="minorHAnsi" w:cstheme="minorHAnsi"/>
                <w:szCs w:val="20"/>
              </w:rPr>
              <w:t xml:space="preserve"> (čo z toho vieme dodať ?)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Snaha o veľké projekty bez reálnych prínosov</w:t>
            </w:r>
          </w:p>
          <w:p w:rsidR="00EE66E4" w:rsidRPr="00914E59" w:rsidRDefault="00EE66E4" w:rsidP="00EE66E4">
            <w:pPr>
              <w:spacing w:line="264" w:lineRule="auto"/>
              <w:ind w:left="340"/>
              <w:jc w:val="both"/>
              <w:rPr>
                <w:rFonts w:cstheme="minorHAnsi"/>
                <w:sz w:val="20"/>
                <w:szCs w:val="20"/>
                <w:u w:val="single"/>
                <w:lang w:val="sk-SK"/>
              </w:rPr>
            </w:pPr>
            <w:r w:rsidRPr="00914E59">
              <w:rPr>
                <w:rFonts w:cstheme="minorHAnsi"/>
                <w:sz w:val="20"/>
                <w:szCs w:val="20"/>
                <w:u w:val="single"/>
                <w:lang w:val="sk-SK"/>
              </w:rPr>
              <w:t>Oblasť ľudských zdrojov: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Chýbajúce ľudské zdroje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Ľudské zdroje (kto to má potiahnuť ?)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Nedostatok ľudských zdrojov na štátnych OVM</w:t>
            </w:r>
          </w:p>
          <w:p w:rsidR="00EE66E4" w:rsidRPr="00914E59" w:rsidRDefault="00EE66E4" w:rsidP="00EE66E4">
            <w:pPr>
              <w:spacing w:line="264" w:lineRule="auto"/>
              <w:ind w:left="340"/>
              <w:jc w:val="both"/>
              <w:rPr>
                <w:rFonts w:cstheme="minorHAnsi"/>
                <w:sz w:val="20"/>
                <w:szCs w:val="20"/>
                <w:u w:val="single"/>
                <w:lang w:val="sk-SK"/>
              </w:rPr>
            </w:pPr>
            <w:r w:rsidRPr="00914E59">
              <w:rPr>
                <w:rFonts w:cstheme="minorHAnsi"/>
                <w:sz w:val="20"/>
                <w:szCs w:val="20"/>
                <w:u w:val="single"/>
                <w:lang w:val="sk-SK"/>
              </w:rPr>
              <w:t>Oblasť samosprávy</w:t>
            </w:r>
            <w:r w:rsidRPr="00914E59">
              <w:rPr>
                <w:rFonts w:cstheme="minorHAnsi"/>
                <w:sz w:val="20"/>
                <w:szCs w:val="20"/>
                <w:u w:val="single"/>
                <w:lang w:val="sk-SK"/>
              </w:rPr>
              <w:t>: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Minimálna pozornosť pre rozvoj IT v</w:t>
            </w:r>
            <w:r w:rsidRPr="00914E59">
              <w:rPr>
                <w:rFonts w:asciiTheme="minorHAnsi" w:hAnsiTheme="minorHAnsi" w:cstheme="minorHAnsi"/>
                <w:szCs w:val="20"/>
              </w:rPr>
              <w:t> </w:t>
            </w:r>
            <w:r w:rsidRPr="006B71C4">
              <w:rPr>
                <w:rFonts w:asciiTheme="minorHAnsi" w:hAnsiTheme="minorHAnsi" w:cstheme="minorHAnsi"/>
                <w:szCs w:val="20"/>
              </w:rPr>
              <w:t>samospráve</w:t>
            </w:r>
          </w:p>
          <w:p w:rsidR="00EE66E4" w:rsidRPr="00914E59" w:rsidRDefault="00EE66E4" w:rsidP="00EE66E4">
            <w:pPr>
              <w:spacing w:line="264" w:lineRule="auto"/>
              <w:ind w:left="340"/>
              <w:jc w:val="both"/>
              <w:rPr>
                <w:rFonts w:cstheme="minorHAnsi"/>
                <w:sz w:val="20"/>
                <w:szCs w:val="20"/>
                <w:u w:val="single"/>
                <w:lang w:val="sk-SK"/>
              </w:rPr>
            </w:pPr>
            <w:r w:rsidRPr="00914E59">
              <w:rPr>
                <w:rFonts w:cstheme="minorHAnsi"/>
                <w:sz w:val="20"/>
                <w:szCs w:val="20"/>
                <w:u w:val="single"/>
                <w:lang w:val="sk-SK"/>
              </w:rPr>
              <w:t>Oblasť hospodárskej súťaže a transparentnosti</w:t>
            </w:r>
            <w:r w:rsidRPr="00914E59">
              <w:rPr>
                <w:rFonts w:cstheme="minorHAnsi"/>
                <w:sz w:val="20"/>
                <w:szCs w:val="20"/>
                <w:u w:val="single"/>
                <w:lang w:val="sk-SK"/>
              </w:rPr>
              <w:t>:</w:t>
            </w:r>
          </w:p>
          <w:p w:rsidR="00EE66E4" w:rsidRPr="00914E59" w:rsidRDefault="00EE66E4" w:rsidP="00EE66E4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6B71C4">
              <w:rPr>
                <w:rFonts w:asciiTheme="minorHAnsi" w:hAnsiTheme="minorHAnsi" w:cstheme="minorHAnsi"/>
                <w:szCs w:val="20"/>
              </w:rPr>
              <w:t>Vojna o vplyv záujmových skupín točiacich sa okolo informatizácie</w:t>
            </w:r>
          </w:p>
          <w:p w:rsidR="00EE66E4" w:rsidRPr="00914E59" w:rsidRDefault="00EE66E4" w:rsidP="00EE66E4">
            <w:pPr>
              <w:pStyle w:val="ListParagraph"/>
              <w:spacing w:line="264" w:lineRule="auto"/>
              <w:ind w:left="680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16191" w:rsidRPr="00914E59" w:rsidRDefault="00013297" w:rsidP="00316191">
            <w:pPr>
              <w:pStyle w:val="ListParagraph"/>
              <w:numPr>
                <w:ilvl w:val="0"/>
                <w:numId w:val="1"/>
              </w:numPr>
              <w:spacing w:after="40" w:line="264" w:lineRule="auto"/>
              <w:ind w:left="340" w:hanging="340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14E59">
              <w:rPr>
                <w:rFonts w:asciiTheme="minorHAnsi" w:hAnsiTheme="minorHAnsi" w:cstheme="minorHAnsi"/>
                <w:b/>
                <w:szCs w:val="20"/>
              </w:rPr>
              <w:t>Komentáre Emila Fitoša</w:t>
            </w:r>
          </w:p>
          <w:p w:rsidR="00013297" w:rsidRPr="00914E59" w:rsidRDefault="00013297" w:rsidP="00E62F5D">
            <w:pPr>
              <w:spacing w:line="264" w:lineRule="auto"/>
              <w:ind w:left="340"/>
              <w:jc w:val="both"/>
              <w:rPr>
                <w:rFonts w:cstheme="minorHAnsi"/>
                <w:sz w:val="20"/>
                <w:szCs w:val="20"/>
                <w:u w:val="single"/>
                <w:lang w:val="sk-SK"/>
              </w:rPr>
            </w:pPr>
            <w:r w:rsidRPr="00914E59">
              <w:rPr>
                <w:rFonts w:cstheme="minorHAnsi"/>
                <w:sz w:val="20"/>
                <w:szCs w:val="20"/>
                <w:u w:val="single"/>
                <w:lang w:val="sk-SK"/>
              </w:rPr>
              <w:t>Problém</w:t>
            </w:r>
          </w:p>
          <w:p w:rsidR="00013297" w:rsidRPr="00914E59" w:rsidRDefault="00013297" w:rsidP="00013297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Dokument Koncepcia riadenia informatizácie nie je praktickým manuálom pre krátkodobé riadenie.</w:t>
            </w:r>
          </w:p>
          <w:p w:rsidR="00013297" w:rsidRPr="00914E59" w:rsidRDefault="00013297" w:rsidP="00013297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Odvoláva sa na vtedy pripravovaný akčný plán, ktorý na mnohé veci neodpovedal</w:t>
            </w:r>
          </w:p>
          <w:p w:rsidR="00013297" w:rsidRPr="00914E59" w:rsidRDefault="00013297" w:rsidP="00013297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Pri riadení sa pozeráme na projekty, nie na prínosy (služby, zmeny smerujúce k optimalizácii)</w:t>
            </w:r>
          </w:p>
          <w:p w:rsidR="00E62F5D" w:rsidRPr="00914E59" w:rsidRDefault="00E62F5D" w:rsidP="00E62F5D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lastRenderedPageBreak/>
              <w:t xml:space="preserve">Neexistuje jednoduchá </w:t>
            </w:r>
            <w:proofErr w:type="spellStart"/>
            <w:r w:rsidRPr="00914E59">
              <w:rPr>
                <w:rFonts w:asciiTheme="minorHAnsi" w:hAnsiTheme="minorHAnsi" w:cstheme="minorHAnsi"/>
                <w:szCs w:val="20"/>
              </w:rPr>
              <w:t>roadmapa</w:t>
            </w:r>
            <w:proofErr w:type="spellEnd"/>
            <w:r w:rsidRPr="00914E59">
              <w:rPr>
                <w:rFonts w:asciiTheme="minorHAnsi" w:hAnsiTheme="minorHAnsi" w:cstheme="minorHAnsi"/>
                <w:szCs w:val="20"/>
              </w:rPr>
              <w:t xml:space="preserve"> toho, čo sa má dosiahnuť v krátkom čase (do 24 mesiacov)</w:t>
            </w:r>
          </w:p>
          <w:p w:rsidR="00E62F5D" w:rsidRPr="00914E59" w:rsidRDefault="00E62F5D" w:rsidP="00E62F5D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Neexistuje ucelený prehľad aktuálneho stavu s dátami nie staršími ako mesiac</w:t>
            </w:r>
          </w:p>
          <w:p w:rsidR="00E62F5D" w:rsidRPr="00914E59" w:rsidRDefault="00E62F5D" w:rsidP="00E62F5D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 xml:space="preserve">Neexistuje eskalačná schéma a jednoduchá signalizácia odklonov od </w:t>
            </w:r>
            <w:proofErr w:type="spellStart"/>
            <w:r w:rsidRPr="00914E59">
              <w:rPr>
                <w:rFonts w:asciiTheme="minorHAnsi" w:hAnsiTheme="minorHAnsi" w:cstheme="minorHAnsi"/>
                <w:szCs w:val="20"/>
              </w:rPr>
              <w:t>roadmapy</w:t>
            </w:r>
            <w:proofErr w:type="spellEnd"/>
          </w:p>
          <w:p w:rsidR="00013297" w:rsidRPr="00914E59" w:rsidRDefault="00013297" w:rsidP="00013297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Projekty vnímame technicky, nezaoberáme sa paralelne aj nutnými zmenami ich okolia (legislatíva, procesy, organizácia, personál, materiálne podmienky)</w:t>
            </w:r>
          </w:p>
          <w:p w:rsidR="00E62F5D" w:rsidRPr="00914E59" w:rsidRDefault="00E62F5D" w:rsidP="00E62F5D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 xml:space="preserve">Časti 3.2, 3.3 a 3.4 popisujú väzby na spoločenské potreby, komunikáciu so zainteresovanými stranami, manažment požiadaviek. To však negarantuje, že sa zvládne manažment zmien </w:t>
            </w:r>
          </w:p>
          <w:p w:rsidR="00013297" w:rsidRPr="00914E59" w:rsidRDefault="00013297" w:rsidP="00013297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Nemáme metódu na trvalé sledovanie rizík (čas, peniaze, kvalita)</w:t>
            </w:r>
          </w:p>
          <w:p w:rsidR="00E62F5D" w:rsidRPr="00914E59" w:rsidRDefault="00E62F5D" w:rsidP="00E62F5D">
            <w:pPr>
              <w:pStyle w:val="ListParagraph"/>
              <w:spacing w:line="264" w:lineRule="auto"/>
              <w:ind w:left="680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013297" w:rsidRPr="00914E59" w:rsidRDefault="00013297" w:rsidP="00E62F5D">
            <w:pPr>
              <w:spacing w:line="264" w:lineRule="auto"/>
              <w:ind w:left="340"/>
              <w:jc w:val="both"/>
              <w:rPr>
                <w:rFonts w:cstheme="minorHAnsi"/>
                <w:sz w:val="20"/>
                <w:szCs w:val="20"/>
                <w:u w:val="single"/>
                <w:lang w:val="sk-SK"/>
              </w:rPr>
            </w:pPr>
            <w:r w:rsidRPr="00914E59">
              <w:rPr>
                <w:rFonts w:cstheme="minorHAnsi"/>
                <w:sz w:val="20"/>
                <w:szCs w:val="20"/>
                <w:u w:val="single"/>
                <w:lang w:val="sk-SK"/>
              </w:rPr>
              <w:t>Čo s tým</w:t>
            </w:r>
          </w:p>
          <w:p w:rsidR="00013297" w:rsidRPr="00914E59" w:rsidRDefault="00013297" w:rsidP="00013297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Držať sa cieľov, ktorými sú hlavne služby pre občana / podnikateľa</w:t>
            </w:r>
          </w:p>
          <w:p w:rsidR="00013297" w:rsidRPr="00914E59" w:rsidRDefault="00013297" w:rsidP="00013297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 xml:space="preserve">Podľa možnosti pôsobiť kategóriách „lepšie dáta / jedenkrát a dosť“, „lepšie služby“, „migrácia do </w:t>
            </w:r>
            <w:proofErr w:type="spellStart"/>
            <w:r w:rsidRPr="00914E59">
              <w:rPr>
                <w:rFonts w:asciiTheme="minorHAnsi" w:hAnsiTheme="minorHAnsi" w:cstheme="minorHAnsi"/>
                <w:szCs w:val="20"/>
              </w:rPr>
              <w:t>cloudu</w:t>
            </w:r>
            <w:proofErr w:type="spellEnd"/>
            <w:r w:rsidRPr="00914E59">
              <w:rPr>
                <w:rFonts w:asciiTheme="minorHAnsi" w:hAnsiTheme="minorHAnsi" w:cstheme="minorHAnsi"/>
                <w:szCs w:val="20"/>
              </w:rPr>
              <w:t>“</w:t>
            </w:r>
          </w:p>
          <w:p w:rsidR="00013297" w:rsidRPr="00914E59" w:rsidRDefault="00013297" w:rsidP="00013297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Presunúť ohnisko riadenia na prínos definovaný vyššie uvedenými kategóriami (časť 3.5 koncepcie riadenia informatizácie)</w:t>
            </w:r>
          </w:p>
          <w:p w:rsidR="00013297" w:rsidRPr="00914E59" w:rsidRDefault="00013297" w:rsidP="00013297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Za riadenie zmien musí byť na OVM zodpovedný „sponzor“</w:t>
            </w:r>
          </w:p>
          <w:p w:rsidR="00013297" w:rsidRPr="00914E59" w:rsidRDefault="00013297" w:rsidP="00E62F5D">
            <w:pPr>
              <w:pStyle w:val="ListParagraph"/>
              <w:numPr>
                <w:ilvl w:val="2"/>
                <w:numId w:val="3"/>
              </w:numPr>
              <w:spacing w:line="264" w:lineRule="auto"/>
              <w:ind w:left="1051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Pozícia nie nižšia ako GR sekcie s koordinačnými právomocami</w:t>
            </w:r>
          </w:p>
          <w:p w:rsidR="00013297" w:rsidRPr="00914E59" w:rsidRDefault="00013297" w:rsidP="00E62F5D">
            <w:pPr>
              <w:pStyle w:val="ListParagraph"/>
              <w:numPr>
                <w:ilvl w:val="2"/>
                <w:numId w:val="3"/>
              </w:numPr>
              <w:spacing w:line="264" w:lineRule="auto"/>
              <w:ind w:left="1051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Musí tvoriť zohranú dvojicu s technickým vedúcim – informatikom</w:t>
            </w:r>
          </w:p>
          <w:p w:rsidR="00013297" w:rsidRPr="00914E59" w:rsidRDefault="00E62F5D" w:rsidP="00E62F5D">
            <w:pPr>
              <w:pStyle w:val="ListParagraph"/>
              <w:numPr>
                <w:ilvl w:val="2"/>
                <w:numId w:val="3"/>
              </w:numPr>
              <w:spacing w:line="264" w:lineRule="auto"/>
              <w:ind w:left="1051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Bude potrebná podpora</w:t>
            </w:r>
            <w:r w:rsidR="00013297" w:rsidRPr="00914E59">
              <w:rPr>
                <w:rFonts w:asciiTheme="minorHAnsi" w:hAnsiTheme="minorHAnsi" w:cstheme="minorHAnsi"/>
                <w:szCs w:val="20"/>
              </w:rPr>
              <w:t xml:space="preserve"> ako informatikom, tak aj manažérom zmien</w:t>
            </w:r>
          </w:p>
          <w:p w:rsidR="00013297" w:rsidRPr="00914E59" w:rsidRDefault="00013297" w:rsidP="00E62F5D">
            <w:pPr>
              <w:pStyle w:val="ListParagraph"/>
              <w:numPr>
                <w:ilvl w:val="2"/>
                <w:numId w:val="3"/>
              </w:numPr>
              <w:spacing w:line="264" w:lineRule="auto"/>
              <w:ind w:left="1051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Manažérom zmien môže významne pomôcť ministerstvo vnútra</w:t>
            </w:r>
          </w:p>
          <w:p w:rsidR="00013297" w:rsidRPr="00914E59" w:rsidRDefault="00E62F5D" w:rsidP="00013297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Zabezpečiť kontinuitu</w:t>
            </w:r>
            <w:r w:rsidR="00013297" w:rsidRPr="00914E59">
              <w:rPr>
                <w:rFonts w:asciiTheme="minorHAnsi" w:hAnsiTheme="minorHAnsi" w:cstheme="minorHAnsi"/>
                <w:szCs w:val="20"/>
              </w:rPr>
              <w:t xml:space="preserve"> informácií a aktivít naprieč inštitúciami zabezpečovaná UPVII</w:t>
            </w:r>
          </w:p>
          <w:p w:rsidR="00013297" w:rsidRPr="00914E59" w:rsidRDefault="00013297" w:rsidP="00E62F5D">
            <w:pPr>
              <w:pStyle w:val="ListParagraph"/>
              <w:numPr>
                <w:ilvl w:val="2"/>
                <w:numId w:val="3"/>
              </w:numPr>
              <w:spacing w:line="264" w:lineRule="auto"/>
              <w:ind w:left="1051"/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914E59">
              <w:rPr>
                <w:rFonts w:asciiTheme="minorHAnsi" w:hAnsiTheme="minorHAnsi" w:cstheme="minorHAnsi"/>
                <w:szCs w:val="20"/>
              </w:rPr>
              <w:t>Account</w:t>
            </w:r>
            <w:proofErr w:type="spellEnd"/>
            <w:r w:rsidRPr="00914E59">
              <w:rPr>
                <w:rFonts w:asciiTheme="minorHAnsi" w:hAnsiTheme="minorHAnsi" w:cstheme="minorHAnsi"/>
                <w:szCs w:val="20"/>
              </w:rPr>
              <w:t xml:space="preserve"> manažér / </w:t>
            </w:r>
            <w:proofErr w:type="spellStart"/>
            <w:r w:rsidRPr="00914E59">
              <w:rPr>
                <w:rFonts w:asciiTheme="minorHAnsi" w:hAnsiTheme="minorHAnsi" w:cstheme="minorHAnsi"/>
                <w:szCs w:val="20"/>
              </w:rPr>
              <w:t>Account</w:t>
            </w:r>
            <w:proofErr w:type="spellEnd"/>
            <w:r w:rsidRPr="00914E59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914E59">
              <w:rPr>
                <w:rFonts w:asciiTheme="minorHAnsi" w:hAnsiTheme="minorHAnsi" w:cstheme="minorHAnsi"/>
                <w:szCs w:val="20"/>
              </w:rPr>
              <w:t>executive</w:t>
            </w:r>
            <w:proofErr w:type="spellEnd"/>
            <w:r w:rsidRPr="00914E59">
              <w:rPr>
                <w:rFonts w:asciiTheme="minorHAnsi" w:hAnsiTheme="minorHAnsi" w:cstheme="minorHAnsi"/>
                <w:szCs w:val="20"/>
              </w:rPr>
              <w:t xml:space="preserve"> (AEX) pre jedno alebo viac OVM)</w:t>
            </w:r>
          </w:p>
          <w:p w:rsidR="00013297" w:rsidRPr="00914E59" w:rsidRDefault="00E62F5D" w:rsidP="00E62F5D">
            <w:pPr>
              <w:pStyle w:val="ListParagraph"/>
              <w:numPr>
                <w:ilvl w:val="2"/>
                <w:numId w:val="3"/>
              </w:numPr>
              <w:spacing w:line="264" w:lineRule="auto"/>
              <w:ind w:left="1051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J</w:t>
            </w:r>
            <w:r w:rsidR="00013297" w:rsidRPr="00914E59">
              <w:rPr>
                <w:rFonts w:asciiTheme="minorHAnsi" w:hAnsiTheme="minorHAnsi" w:cstheme="minorHAnsi"/>
                <w:szCs w:val="20"/>
              </w:rPr>
              <w:t>ednoduchý pohľad na aktuálny stav programu</w:t>
            </w:r>
          </w:p>
          <w:p w:rsidR="00013297" w:rsidRPr="00914E59" w:rsidRDefault="00013297" w:rsidP="00013297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Vytvoriť jednoduchý pohľad na aktuálny stav programu</w:t>
            </w:r>
          </w:p>
          <w:p w:rsidR="00013297" w:rsidRPr="00914E59" w:rsidRDefault="00013297" w:rsidP="00E62F5D">
            <w:pPr>
              <w:pStyle w:val="ListParagraph"/>
              <w:numPr>
                <w:ilvl w:val="2"/>
                <w:numId w:val="3"/>
              </w:numPr>
              <w:spacing w:line="264" w:lineRule="auto"/>
              <w:ind w:left="1051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Zdieľať ho vertikálne cez UPVII, ako aj a s partnermi na OVM</w:t>
            </w:r>
          </w:p>
          <w:p w:rsidR="00013297" w:rsidRPr="00914E59" w:rsidRDefault="00013297" w:rsidP="00E62F5D">
            <w:pPr>
              <w:pStyle w:val="ListParagraph"/>
              <w:numPr>
                <w:ilvl w:val="2"/>
                <w:numId w:val="3"/>
              </w:numPr>
              <w:spacing w:line="264" w:lineRule="auto"/>
              <w:ind w:left="1051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Plánovať a sledovať paralelne aktivity aj riziká</w:t>
            </w:r>
          </w:p>
          <w:p w:rsidR="00013297" w:rsidRPr="00914E59" w:rsidRDefault="00013297" w:rsidP="00E62F5D">
            <w:pPr>
              <w:pStyle w:val="ListParagraph"/>
              <w:numPr>
                <w:ilvl w:val="2"/>
                <w:numId w:val="3"/>
              </w:numPr>
              <w:spacing w:line="264" w:lineRule="auto"/>
              <w:ind w:left="1051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Vyžadovať od zodpovedných plnenie úloh a termínov bez ohľadu na ich pôsobisko</w:t>
            </w:r>
          </w:p>
          <w:p w:rsidR="00013297" w:rsidRPr="00914E59" w:rsidRDefault="00013297" w:rsidP="00013297">
            <w:pPr>
              <w:pStyle w:val="ListParagraph"/>
              <w:numPr>
                <w:ilvl w:val="1"/>
                <w:numId w:val="3"/>
              </w:numPr>
              <w:spacing w:line="264" w:lineRule="auto"/>
              <w:ind w:left="680" w:hanging="34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Výber podnetov treba podriadiť kritickému hodnoteniu</w:t>
            </w:r>
          </w:p>
          <w:p w:rsidR="00013297" w:rsidRPr="00914E59" w:rsidRDefault="00013297" w:rsidP="00E62F5D">
            <w:pPr>
              <w:pStyle w:val="ListParagraph"/>
              <w:numPr>
                <w:ilvl w:val="2"/>
                <w:numId w:val="3"/>
              </w:numPr>
              <w:spacing w:line="264" w:lineRule="auto"/>
              <w:ind w:left="1051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Sme schopní uriadiť zmeny a riziká?</w:t>
            </w:r>
          </w:p>
          <w:p w:rsidR="00013297" w:rsidRPr="00914E59" w:rsidRDefault="00013297" w:rsidP="00E62F5D">
            <w:pPr>
              <w:pStyle w:val="ListParagraph"/>
              <w:numPr>
                <w:ilvl w:val="2"/>
                <w:numId w:val="3"/>
              </w:numPr>
              <w:spacing w:line="264" w:lineRule="auto"/>
              <w:ind w:left="1051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Existuje na OVM sponzor?</w:t>
            </w:r>
          </w:p>
          <w:p w:rsidR="00013297" w:rsidRPr="00914E59" w:rsidRDefault="00013297" w:rsidP="00E62F5D">
            <w:pPr>
              <w:pStyle w:val="ListParagraph"/>
              <w:numPr>
                <w:ilvl w:val="2"/>
                <w:numId w:val="3"/>
              </w:numPr>
              <w:spacing w:line="264" w:lineRule="auto"/>
              <w:ind w:left="1051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>Dosiahne sa realizáciou projektu primárny alebo sekundárny prínos?</w:t>
            </w:r>
          </w:p>
          <w:p w:rsidR="00A46D5B" w:rsidRPr="00914E59" w:rsidRDefault="00316191" w:rsidP="00E62F5D">
            <w:pPr>
              <w:pStyle w:val="ListParagraph"/>
              <w:spacing w:line="264" w:lineRule="auto"/>
              <w:ind w:left="680"/>
              <w:jc w:val="both"/>
              <w:rPr>
                <w:rFonts w:asciiTheme="minorHAnsi" w:hAnsiTheme="minorHAnsi" w:cstheme="minorHAnsi"/>
                <w:szCs w:val="20"/>
              </w:rPr>
            </w:pPr>
            <w:r w:rsidRPr="00914E59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2852" w:type="dxa"/>
            <w:shd w:val="clear" w:color="auto" w:fill="FFF2CC" w:themeFill="accent4" w:themeFillTint="33"/>
          </w:tcPr>
          <w:p w:rsidR="00316191" w:rsidRPr="00914E59" w:rsidRDefault="00316191" w:rsidP="00316191">
            <w:pPr>
              <w:spacing w:after="60" w:line="264" w:lineRule="auto"/>
              <w:rPr>
                <w:rFonts w:cstheme="minorHAnsi"/>
                <w:b/>
                <w:sz w:val="22"/>
                <w:szCs w:val="20"/>
                <w:lang w:val="sk-SK"/>
              </w:rPr>
            </w:pPr>
          </w:p>
          <w:p w:rsidR="00316191" w:rsidRPr="00914E59" w:rsidRDefault="00020098" w:rsidP="00316191">
            <w:pPr>
              <w:spacing w:after="60" w:line="264" w:lineRule="auto"/>
              <w:rPr>
                <w:rFonts w:cstheme="minorHAnsi"/>
                <w:b/>
                <w:szCs w:val="20"/>
                <w:lang w:val="sk-SK"/>
              </w:rPr>
            </w:pPr>
            <w:r w:rsidRPr="00914E59">
              <w:rPr>
                <w:rFonts w:cstheme="minorHAnsi"/>
                <w:b/>
                <w:szCs w:val="20"/>
                <w:lang w:val="sk-SK"/>
              </w:rPr>
              <w:t>Poznámky a k</w:t>
            </w:r>
            <w:r w:rsidR="00AE31A5" w:rsidRPr="00914E59">
              <w:rPr>
                <w:rFonts w:cstheme="minorHAnsi"/>
                <w:b/>
                <w:szCs w:val="20"/>
                <w:lang w:val="sk-SK"/>
              </w:rPr>
              <w:t>omentáre:</w:t>
            </w:r>
          </w:p>
          <w:p w:rsidR="00020098" w:rsidRPr="00914E59" w:rsidRDefault="00020098" w:rsidP="00316191">
            <w:pPr>
              <w:spacing w:after="60" w:line="264" w:lineRule="auto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</w:p>
          <w:p w:rsidR="00EE66E4" w:rsidRPr="00914E59" w:rsidRDefault="00EE66E4" w:rsidP="00316191">
            <w:pPr>
              <w:spacing w:after="60" w:line="264" w:lineRule="auto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</w:p>
          <w:p w:rsidR="00EE66E4" w:rsidRPr="00914E59" w:rsidRDefault="00EE66E4" w:rsidP="00316191">
            <w:pPr>
              <w:spacing w:after="60" w:line="264" w:lineRule="auto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</w:p>
          <w:p w:rsidR="00EE66E4" w:rsidRPr="00914E59" w:rsidRDefault="00EE66E4" w:rsidP="00316191">
            <w:pPr>
              <w:spacing w:after="60" w:line="264" w:lineRule="auto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</w:p>
          <w:p w:rsidR="00316191" w:rsidRPr="00914E59" w:rsidRDefault="00EE66E4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  <w:r w:rsidRPr="00914E59">
              <w:rPr>
                <w:rFonts w:cstheme="minorHAnsi"/>
                <w:b/>
                <w:i/>
                <w:sz w:val="20"/>
                <w:szCs w:val="20"/>
                <w:lang w:val="sk-SK"/>
              </w:rPr>
              <w:t>„</w:t>
            </w:r>
            <w:r w:rsidR="00F303C7" w:rsidRPr="00914E59">
              <w:rPr>
                <w:rFonts w:cstheme="minorHAnsi"/>
                <w:b/>
                <w:i/>
                <w:sz w:val="20"/>
                <w:szCs w:val="20"/>
                <w:lang w:val="sk-SK"/>
              </w:rPr>
              <w:t>Pre-</w:t>
            </w:r>
            <w:proofErr w:type="spellStart"/>
            <w:r w:rsidRPr="00914E59">
              <w:rPr>
                <w:rFonts w:cstheme="minorHAnsi"/>
                <w:b/>
                <w:i/>
                <w:sz w:val="20"/>
                <w:szCs w:val="20"/>
                <w:lang w:val="sk-SK"/>
              </w:rPr>
              <w:t>mortem</w:t>
            </w:r>
            <w:proofErr w:type="spellEnd"/>
            <w:r w:rsidRPr="00914E59">
              <w:rPr>
                <w:rFonts w:cstheme="minorHAnsi"/>
                <w:b/>
                <w:i/>
                <w:sz w:val="20"/>
                <w:szCs w:val="20"/>
                <w:lang w:val="sk-SK"/>
              </w:rPr>
              <w:t>“ anketa. Členovia odpovedali na otázku:</w:t>
            </w:r>
            <w:r w:rsidR="00316191" w:rsidRPr="00914E59">
              <w:rPr>
                <w:rFonts w:cstheme="minorHAnsi"/>
                <w:b/>
                <w:i/>
                <w:sz w:val="20"/>
                <w:szCs w:val="20"/>
                <w:lang w:val="sk-SK"/>
              </w:rPr>
              <w:t xml:space="preserve"> </w:t>
            </w:r>
            <w:r w:rsidRPr="00914E59">
              <w:rPr>
                <w:rFonts w:cstheme="minorHAnsi"/>
                <w:i/>
                <w:sz w:val="20"/>
                <w:szCs w:val="20"/>
                <w:lang w:val="sk-SK"/>
              </w:rPr>
              <w:t>Predstavte si, že je rok 2020 a informatizácia stále nepriniesla uspokojivé výsledky. Čo bolo príčinou tohto stavu?</w:t>
            </w:r>
            <w:r w:rsidR="00316191" w:rsidRPr="00914E59">
              <w:rPr>
                <w:rFonts w:cstheme="minorHAnsi"/>
                <w:i/>
                <w:sz w:val="20"/>
                <w:szCs w:val="20"/>
                <w:lang w:val="sk-SK"/>
              </w:rPr>
              <w:t>.</w:t>
            </w: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914E59" w:rsidRPr="00914E59" w:rsidRDefault="00914E59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</w:p>
          <w:p w:rsidR="00914E59" w:rsidRPr="00914E59" w:rsidRDefault="00914E59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</w:p>
          <w:p w:rsidR="00914E59" w:rsidRPr="00914E59" w:rsidRDefault="00914E59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</w:p>
          <w:p w:rsidR="00914E59" w:rsidRPr="00914E59" w:rsidRDefault="00914E59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</w:p>
          <w:p w:rsidR="00914E59" w:rsidRPr="00914E59" w:rsidRDefault="00914E59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</w:p>
          <w:p w:rsidR="00914E59" w:rsidRPr="00914E59" w:rsidRDefault="00914E59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</w:p>
          <w:p w:rsidR="00914E59" w:rsidRPr="00914E59" w:rsidRDefault="00914E59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</w:p>
          <w:p w:rsidR="00914E59" w:rsidRPr="00914E59" w:rsidRDefault="00914E59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  <w:r w:rsidRPr="00914E59">
              <w:rPr>
                <w:rFonts w:cstheme="minorHAnsi"/>
                <w:b/>
                <w:i/>
                <w:sz w:val="20"/>
                <w:szCs w:val="20"/>
                <w:lang w:val="sk-SK"/>
              </w:rPr>
              <w:lastRenderedPageBreak/>
              <w:t xml:space="preserve">Dokument </w:t>
            </w:r>
            <w:r w:rsidR="00914E59">
              <w:rPr>
                <w:rFonts w:cstheme="minorHAnsi"/>
                <w:b/>
                <w:i/>
                <w:sz w:val="20"/>
                <w:szCs w:val="20"/>
                <w:lang w:val="sk-SK"/>
              </w:rPr>
              <w:t>„</w:t>
            </w:r>
            <w:r w:rsidRPr="00914E59">
              <w:rPr>
                <w:rFonts w:cstheme="minorHAnsi"/>
                <w:b/>
                <w:i/>
                <w:sz w:val="20"/>
                <w:szCs w:val="20"/>
                <w:lang w:val="sk-SK"/>
              </w:rPr>
              <w:t>Koncepcia riadenia informatizácie</w:t>
            </w:r>
            <w:r w:rsidR="00914E59">
              <w:rPr>
                <w:rFonts w:cstheme="minorHAnsi"/>
                <w:b/>
                <w:i/>
                <w:sz w:val="20"/>
                <w:szCs w:val="20"/>
                <w:lang w:val="sk-SK"/>
              </w:rPr>
              <w:t>“</w:t>
            </w:r>
            <w:r w:rsidRPr="00914E59">
              <w:rPr>
                <w:rFonts w:cstheme="minorHAnsi"/>
                <w:b/>
                <w:i/>
                <w:sz w:val="20"/>
                <w:szCs w:val="20"/>
                <w:lang w:val="sk-SK"/>
              </w:rPr>
              <w:t xml:space="preserve"> </w:t>
            </w:r>
            <w:r w:rsidRPr="00914E59">
              <w:rPr>
                <w:rFonts w:cstheme="minorHAnsi"/>
                <w:b/>
                <w:i/>
                <w:sz w:val="20"/>
                <w:szCs w:val="20"/>
                <w:lang w:val="sk-SK"/>
              </w:rPr>
              <w:t>bude potrebné dopracovať minimálne o nasledovné oblasti:</w:t>
            </w:r>
          </w:p>
          <w:p w:rsidR="00E62F5D" w:rsidRPr="00914E59" w:rsidRDefault="00E62F5D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E62F5D" w:rsidRPr="00914E59" w:rsidRDefault="00E62F5D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i/>
                <w:sz w:val="20"/>
                <w:szCs w:val="20"/>
                <w:lang w:val="sk-SK"/>
              </w:rPr>
            </w:pPr>
            <w:r w:rsidRPr="00914E59">
              <w:rPr>
                <w:rFonts w:cstheme="minorHAnsi"/>
                <w:i/>
                <w:sz w:val="20"/>
                <w:szCs w:val="20"/>
                <w:lang w:val="sk-SK"/>
              </w:rPr>
              <w:t>1.</w:t>
            </w:r>
            <w:r w:rsidR="00914E59" w:rsidRPr="00914E59">
              <w:rPr>
                <w:rFonts w:cstheme="minorHAnsi"/>
                <w:i/>
                <w:sz w:val="20"/>
                <w:szCs w:val="20"/>
                <w:lang w:val="sk-SK"/>
              </w:rPr>
              <w:t>Koncentrácia</w:t>
            </w:r>
            <w:r w:rsidRPr="00914E59">
              <w:rPr>
                <w:rFonts w:cstheme="minorHAnsi"/>
                <w:i/>
                <w:sz w:val="20"/>
                <w:szCs w:val="20"/>
                <w:lang w:val="sk-SK"/>
              </w:rPr>
              <w:t xml:space="preserve"> na prínosy / inovácie</w:t>
            </w:r>
          </w:p>
          <w:p w:rsidR="00E62F5D" w:rsidRPr="00914E59" w:rsidRDefault="00E62F5D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i/>
                <w:sz w:val="20"/>
                <w:szCs w:val="20"/>
                <w:lang w:val="sk-SK"/>
              </w:rPr>
            </w:pPr>
            <w:r w:rsidRPr="00914E59">
              <w:rPr>
                <w:rFonts w:cstheme="minorHAnsi"/>
                <w:i/>
                <w:sz w:val="20"/>
                <w:szCs w:val="20"/>
                <w:lang w:val="sk-SK"/>
              </w:rPr>
              <w:t>2.Schopnosť riadiť zmeny</w:t>
            </w:r>
          </w:p>
          <w:p w:rsidR="00E62F5D" w:rsidRPr="00914E59" w:rsidRDefault="00E62F5D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i/>
                <w:sz w:val="20"/>
                <w:szCs w:val="20"/>
                <w:lang w:val="sk-SK"/>
              </w:rPr>
            </w:pPr>
            <w:r w:rsidRPr="00914E59">
              <w:rPr>
                <w:rFonts w:cstheme="minorHAnsi"/>
                <w:i/>
                <w:sz w:val="20"/>
                <w:szCs w:val="20"/>
                <w:lang w:val="sk-SK"/>
              </w:rPr>
              <w:t>3.Kontinuita informácií a aktivít naprieč inštitúciami zabezpečovaná UPVII</w:t>
            </w:r>
          </w:p>
          <w:p w:rsidR="00E62F5D" w:rsidRPr="00914E59" w:rsidRDefault="00E62F5D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i/>
                <w:sz w:val="20"/>
                <w:szCs w:val="20"/>
                <w:lang w:val="sk-SK"/>
              </w:rPr>
            </w:pPr>
            <w:r w:rsidRPr="00914E59">
              <w:rPr>
                <w:rFonts w:cstheme="minorHAnsi"/>
                <w:i/>
                <w:sz w:val="20"/>
                <w:szCs w:val="20"/>
                <w:lang w:val="sk-SK"/>
              </w:rPr>
              <w:t>4.Jednoduchý pohľad na aktuálny stav programu</w:t>
            </w:r>
          </w:p>
          <w:p w:rsidR="00E62F5D" w:rsidRPr="00914E59" w:rsidRDefault="00E62F5D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i/>
                <w:sz w:val="20"/>
                <w:szCs w:val="20"/>
                <w:lang w:val="sk-SK"/>
              </w:rPr>
            </w:pPr>
            <w:r w:rsidRPr="00914E59">
              <w:rPr>
                <w:rFonts w:cstheme="minorHAnsi"/>
                <w:i/>
                <w:sz w:val="20"/>
                <w:szCs w:val="20"/>
                <w:lang w:val="sk-SK"/>
              </w:rPr>
              <w:t>5.Validáciu podnetov</w:t>
            </w:r>
          </w:p>
          <w:p w:rsidR="00E62F5D" w:rsidRPr="00914E59" w:rsidRDefault="00E62F5D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i/>
                <w:sz w:val="20"/>
                <w:szCs w:val="20"/>
                <w:lang w:val="sk-SK"/>
              </w:rPr>
            </w:pPr>
            <w:r w:rsidRPr="00914E59">
              <w:rPr>
                <w:rFonts w:cstheme="minorHAnsi"/>
                <w:i/>
                <w:sz w:val="20"/>
                <w:szCs w:val="20"/>
                <w:lang w:val="sk-SK"/>
              </w:rPr>
              <w:t>6.Schopnosť riadiť prevádzku</w:t>
            </w:r>
          </w:p>
          <w:p w:rsidR="00E62F5D" w:rsidRDefault="00E62F5D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i/>
                <w:sz w:val="20"/>
                <w:szCs w:val="20"/>
                <w:lang w:val="sk-SK"/>
              </w:rPr>
            </w:pPr>
            <w:r w:rsidRPr="00914E59">
              <w:rPr>
                <w:rFonts w:cstheme="minorHAnsi"/>
                <w:i/>
                <w:sz w:val="20"/>
                <w:szCs w:val="20"/>
                <w:lang w:val="sk-SK"/>
              </w:rPr>
              <w:t>7.Transparentnosť a ochrana hospodárskej súťaže</w:t>
            </w:r>
          </w:p>
          <w:p w:rsidR="00914E59" w:rsidRDefault="00914E59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914E59" w:rsidRDefault="00914E59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</w:p>
          <w:p w:rsidR="00914E59" w:rsidRDefault="00914E59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</w:p>
          <w:p w:rsidR="00914E59" w:rsidRDefault="00914E59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</w:p>
          <w:p w:rsidR="00914E59" w:rsidRPr="00914E59" w:rsidRDefault="00914E59" w:rsidP="00E62F5D">
            <w:pPr>
              <w:autoSpaceDE w:val="0"/>
              <w:autoSpaceDN w:val="0"/>
              <w:adjustRightInd w:val="0"/>
              <w:spacing w:line="216" w:lineRule="atLeast"/>
              <w:rPr>
                <w:rFonts w:cstheme="minorHAnsi"/>
                <w:b/>
                <w:i/>
                <w:sz w:val="20"/>
                <w:szCs w:val="20"/>
                <w:lang w:val="sk-SK"/>
              </w:rPr>
            </w:pPr>
            <w:r w:rsidRPr="00914E59">
              <w:rPr>
                <w:rFonts w:cstheme="minorHAnsi"/>
                <w:b/>
                <w:i/>
                <w:sz w:val="20"/>
                <w:szCs w:val="20"/>
                <w:lang w:val="sk-SK"/>
              </w:rPr>
              <w:t>Popri tom bude potrebné dopracovať dokument „Ľudské zdroje“</w:t>
            </w:r>
          </w:p>
          <w:p w:rsidR="00E62F5D" w:rsidRPr="00914E59" w:rsidRDefault="00E62F5D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316191" w:rsidRPr="00914E59" w:rsidRDefault="00316191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316191" w:rsidRPr="00914E59" w:rsidRDefault="00316191" w:rsidP="00316191">
            <w:pPr>
              <w:spacing w:after="60" w:line="264" w:lineRule="auto"/>
              <w:rPr>
                <w:rFonts w:cstheme="minorHAnsi"/>
                <w:i/>
                <w:sz w:val="20"/>
                <w:szCs w:val="20"/>
                <w:lang w:val="sk-SK"/>
              </w:rPr>
            </w:pPr>
          </w:p>
          <w:p w:rsidR="00316191" w:rsidRPr="00914E59" w:rsidRDefault="00316191" w:rsidP="00F41A9E">
            <w:pPr>
              <w:spacing w:line="264" w:lineRule="auto"/>
              <w:rPr>
                <w:rFonts w:cstheme="minorHAnsi"/>
                <w:sz w:val="22"/>
                <w:lang w:val="sk-SK"/>
              </w:rPr>
            </w:pPr>
          </w:p>
        </w:tc>
      </w:tr>
      <w:tr w:rsidR="00020098" w:rsidRPr="00914E59" w:rsidTr="00020098">
        <w:trPr>
          <w:trHeight w:val="280"/>
        </w:trPr>
        <w:tc>
          <w:tcPr>
            <w:tcW w:w="9827" w:type="dxa"/>
            <w:gridSpan w:val="2"/>
            <w:shd w:val="clear" w:color="auto" w:fill="FFD966" w:themeFill="accent4" w:themeFillTint="99"/>
          </w:tcPr>
          <w:p w:rsidR="00914E59" w:rsidRDefault="00914E59" w:rsidP="00316191">
            <w:pPr>
              <w:spacing w:after="60" w:line="264" w:lineRule="auto"/>
              <w:rPr>
                <w:rFonts w:cstheme="minorHAnsi"/>
                <w:b/>
                <w:sz w:val="22"/>
                <w:szCs w:val="20"/>
                <w:lang w:val="sk-SK"/>
              </w:rPr>
            </w:pPr>
            <w:r>
              <w:rPr>
                <w:rFonts w:cstheme="minorHAnsi"/>
                <w:b/>
                <w:sz w:val="22"/>
                <w:szCs w:val="20"/>
                <w:lang w:val="sk-SK"/>
              </w:rPr>
              <w:t>Termín ďalšieho stretnutia: 17.4.2018</w:t>
            </w:r>
          </w:p>
          <w:p w:rsidR="00020098" w:rsidRPr="00914E59" w:rsidRDefault="00E62F5D" w:rsidP="00316191">
            <w:pPr>
              <w:spacing w:after="60" w:line="264" w:lineRule="auto"/>
              <w:rPr>
                <w:rFonts w:cstheme="minorHAnsi"/>
                <w:b/>
                <w:sz w:val="22"/>
                <w:szCs w:val="20"/>
                <w:lang w:val="sk-SK"/>
              </w:rPr>
            </w:pPr>
            <w:r w:rsidRPr="00914E59">
              <w:rPr>
                <w:rFonts w:cstheme="minorHAnsi"/>
                <w:b/>
                <w:sz w:val="22"/>
                <w:szCs w:val="20"/>
                <w:lang w:val="sk-SK"/>
              </w:rPr>
              <w:t>Program na ďalšie stretnutie</w:t>
            </w:r>
            <w:r w:rsidR="009632EF" w:rsidRPr="00914E59">
              <w:rPr>
                <w:rFonts w:cstheme="minorHAnsi"/>
                <w:b/>
                <w:sz w:val="22"/>
                <w:szCs w:val="20"/>
                <w:lang w:val="sk-SK"/>
              </w:rPr>
              <w:t>:</w:t>
            </w:r>
          </w:p>
          <w:p w:rsidR="009632EF" w:rsidRDefault="00914E59" w:rsidP="00316191">
            <w:pPr>
              <w:spacing w:after="60" w:line="264" w:lineRule="auto"/>
              <w:rPr>
                <w:rFonts w:cstheme="minorHAnsi"/>
                <w:sz w:val="22"/>
                <w:szCs w:val="20"/>
                <w:lang w:val="sk-SK"/>
              </w:rPr>
            </w:pPr>
            <w:r>
              <w:rPr>
                <w:rFonts w:cstheme="minorHAnsi"/>
                <w:sz w:val="22"/>
                <w:szCs w:val="20"/>
                <w:lang w:val="sk-SK"/>
              </w:rPr>
              <w:t>Naplánujeme prácu na troch balíkoch</w:t>
            </w:r>
            <w:bookmarkStart w:id="0" w:name="_GoBack"/>
            <w:bookmarkEnd w:id="0"/>
          </w:p>
          <w:p w:rsidR="00914E59" w:rsidRDefault="00914E59" w:rsidP="00316191">
            <w:pPr>
              <w:spacing w:after="60" w:line="264" w:lineRule="auto"/>
              <w:rPr>
                <w:rFonts w:cstheme="minorHAnsi"/>
                <w:sz w:val="22"/>
                <w:szCs w:val="20"/>
                <w:lang w:val="sk-SK"/>
              </w:rPr>
            </w:pPr>
            <w:proofErr w:type="spellStart"/>
            <w:r>
              <w:rPr>
                <w:rFonts w:cstheme="minorHAnsi"/>
                <w:sz w:val="22"/>
                <w:szCs w:val="20"/>
                <w:lang w:val="sk-SK"/>
              </w:rPr>
              <w:t>Package</w:t>
            </w:r>
            <w:proofErr w:type="spellEnd"/>
            <w:r>
              <w:rPr>
                <w:rFonts w:cstheme="minorHAnsi"/>
                <w:sz w:val="22"/>
                <w:szCs w:val="20"/>
                <w:lang w:val="sk-SK"/>
              </w:rPr>
              <w:t xml:space="preserve"> 1: </w:t>
            </w:r>
            <w:r w:rsidRPr="00914E59">
              <w:rPr>
                <w:rFonts w:cstheme="minorHAnsi"/>
                <w:sz w:val="22"/>
                <w:szCs w:val="20"/>
                <w:lang w:val="sk-SK"/>
              </w:rPr>
              <w:t>Implementačný plán pre centrálne riadenie informatizácie</w:t>
            </w:r>
            <w:r>
              <w:rPr>
                <w:rFonts w:cstheme="minorHAnsi"/>
                <w:sz w:val="22"/>
                <w:szCs w:val="20"/>
                <w:lang w:val="sk-SK"/>
              </w:rPr>
              <w:t xml:space="preserve"> / </w:t>
            </w:r>
            <w:r w:rsidRPr="00914E59">
              <w:rPr>
                <w:rFonts w:cstheme="minorHAnsi"/>
                <w:sz w:val="22"/>
                <w:szCs w:val="20"/>
                <w:lang w:val="sk-SK"/>
              </w:rPr>
              <w:t>Plán míľnikov čo bude kedy k dispozícii pre občanov a OVM (výstupy projektov)</w:t>
            </w:r>
          </w:p>
          <w:p w:rsidR="00914E59" w:rsidRDefault="00914E59" w:rsidP="00316191">
            <w:pPr>
              <w:spacing w:after="60" w:line="264" w:lineRule="auto"/>
              <w:rPr>
                <w:rFonts w:cstheme="minorHAnsi"/>
                <w:sz w:val="22"/>
                <w:szCs w:val="20"/>
                <w:lang w:val="sk-SK"/>
              </w:rPr>
            </w:pPr>
            <w:proofErr w:type="spellStart"/>
            <w:r>
              <w:rPr>
                <w:rFonts w:cstheme="minorHAnsi"/>
                <w:sz w:val="22"/>
                <w:szCs w:val="20"/>
                <w:lang w:val="sk-SK"/>
              </w:rPr>
              <w:t>Package</w:t>
            </w:r>
            <w:proofErr w:type="spellEnd"/>
            <w:r>
              <w:rPr>
                <w:rFonts w:cstheme="minorHAnsi"/>
                <w:sz w:val="22"/>
                <w:szCs w:val="20"/>
                <w:lang w:val="sk-SK"/>
              </w:rPr>
              <w:t xml:space="preserve"> 2: </w:t>
            </w:r>
            <w:r w:rsidRPr="00914E59">
              <w:rPr>
                <w:rFonts w:cstheme="minorHAnsi"/>
                <w:sz w:val="22"/>
                <w:szCs w:val="20"/>
                <w:lang w:val="sk-SK"/>
              </w:rPr>
              <w:t>Strategický dokument riadenie ľudských zdrojov</w:t>
            </w:r>
          </w:p>
          <w:p w:rsidR="00914E59" w:rsidRDefault="00914E59" w:rsidP="00316191">
            <w:pPr>
              <w:spacing w:after="60" w:line="264" w:lineRule="auto"/>
              <w:rPr>
                <w:rFonts w:cstheme="minorHAnsi"/>
                <w:sz w:val="22"/>
                <w:szCs w:val="20"/>
                <w:lang w:val="sk-SK"/>
              </w:rPr>
            </w:pPr>
            <w:proofErr w:type="spellStart"/>
            <w:r>
              <w:rPr>
                <w:rFonts w:cstheme="minorHAnsi"/>
                <w:sz w:val="22"/>
                <w:szCs w:val="20"/>
                <w:lang w:val="sk-SK"/>
              </w:rPr>
              <w:t>Package</w:t>
            </w:r>
            <w:proofErr w:type="spellEnd"/>
            <w:r>
              <w:rPr>
                <w:rFonts w:cstheme="minorHAnsi"/>
                <w:sz w:val="22"/>
                <w:szCs w:val="20"/>
                <w:lang w:val="sk-SK"/>
              </w:rPr>
              <w:t xml:space="preserve"> 3: Ochrana hospodárskej súťaže a transparentnosť</w:t>
            </w:r>
          </w:p>
          <w:p w:rsidR="00914E59" w:rsidRPr="00914E59" w:rsidRDefault="00914E59" w:rsidP="00914E59">
            <w:pPr>
              <w:spacing w:after="60" w:line="264" w:lineRule="auto"/>
              <w:rPr>
                <w:rFonts w:cstheme="minorHAnsi"/>
                <w:sz w:val="22"/>
                <w:szCs w:val="20"/>
                <w:lang w:val="sk-SK"/>
              </w:rPr>
            </w:pPr>
            <w:r>
              <w:rPr>
                <w:rFonts w:cstheme="minorHAnsi"/>
                <w:sz w:val="22"/>
                <w:szCs w:val="20"/>
                <w:lang w:val="sk-SK"/>
              </w:rPr>
              <w:t>Ku každému balíku sa účastníci vyjadria k obsahu, očakávanému výstupu, harmonogramu prác a záujme participovať</w:t>
            </w:r>
          </w:p>
        </w:tc>
      </w:tr>
    </w:tbl>
    <w:p w:rsidR="00AE31A5" w:rsidRPr="00914E59" w:rsidRDefault="00AE31A5">
      <w:pPr>
        <w:rPr>
          <w:lang w:val="sk-SK"/>
        </w:rPr>
      </w:pPr>
    </w:p>
    <w:sectPr w:rsidR="00AE31A5" w:rsidRPr="00914E59" w:rsidSect="00A0730F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FF6" w:rsidRDefault="00571FF6" w:rsidP="00316191">
      <w:r>
        <w:separator/>
      </w:r>
    </w:p>
  </w:endnote>
  <w:endnote w:type="continuationSeparator" w:id="0">
    <w:p w:rsidR="00571FF6" w:rsidRDefault="00571FF6" w:rsidP="00316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FF6" w:rsidRDefault="00571FF6" w:rsidP="00316191">
      <w:r>
        <w:separator/>
      </w:r>
    </w:p>
  </w:footnote>
  <w:footnote w:type="continuationSeparator" w:id="0">
    <w:p w:rsidR="00571FF6" w:rsidRDefault="00571FF6" w:rsidP="00316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6191" w:rsidRPr="00316191" w:rsidRDefault="00316191">
    <w:pPr>
      <w:pStyle w:val="Header"/>
      <w:rPr>
        <w:sz w:val="36"/>
        <w:lang w:val="sk-SK"/>
      </w:rPr>
    </w:pPr>
    <w:r w:rsidRPr="00316191">
      <w:rPr>
        <w:sz w:val="36"/>
        <w:lang w:val="sk-SK"/>
      </w:rPr>
      <w:t>Pr</w:t>
    </w:r>
    <w:r w:rsidR="0044119D">
      <w:rPr>
        <w:sz w:val="36"/>
        <w:lang w:val="sk-SK"/>
      </w:rPr>
      <w:t xml:space="preserve">acovná skupina </w:t>
    </w:r>
    <w:proofErr w:type="spellStart"/>
    <w:r w:rsidR="0044119D">
      <w:rPr>
        <w:sz w:val="36"/>
        <w:lang w:val="sk-SK"/>
      </w:rPr>
      <w:t>Governance</w:t>
    </w:r>
    <w:proofErr w:type="spellEnd"/>
    <w:r w:rsidR="0044119D">
      <w:rPr>
        <w:sz w:val="36"/>
        <w:lang w:val="sk-SK"/>
      </w:rPr>
      <w:t xml:space="preserve"> </w:t>
    </w:r>
    <w:r w:rsidR="0044119D">
      <w:rPr>
        <w:sz w:val="36"/>
        <w:lang w:val="en-US"/>
      </w:rPr>
      <w:t>&amp; Delivery</w:t>
    </w:r>
    <w:r w:rsidRPr="00316191">
      <w:rPr>
        <w:sz w:val="36"/>
        <w:lang w:val="sk-SK"/>
      </w:rPr>
      <w:t xml:space="preserve">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07439D"/>
    <w:multiLevelType w:val="hybridMultilevel"/>
    <w:tmpl w:val="5A6435F2"/>
    <w:lvl w:ilvl="0" w:tplc="5A166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4A3"/>
      </w:rPr>
    </w:lvl>
    <w:lvl w:ilvl="1" w:tplc="654CABD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654CABDC">
      <w:start w:val="1"/>
      <w:numFmt w:val="bullet"/>
      <w:lvlText w:val="-"/>
      <w:lvlJc w:val="left"/>
      <w:pPr>
        <w:ind w:left="4188" w:hanging="360"/>
      </w:pPr>
      <w:rPr>
        <w:rFonts w:ascii="Times New Roman" w:hAnsi="Times New Roman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E206E"/>
    <w:multiLevelType w:val="hybridMultilevel"/>
    <w:tmpl w:val="4588E4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64A3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5D2194B"/>
    <w:multiLevelType w:val="hybridMultilevel"/>
    <w:tmpl w:val="4588E4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64A3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435825"/>
    <w:multiLevelType w:val="hybridMultilevel"/>
    <w:tmpl w:val="B4CC77EC"/>
    <w:lvl w:ilvl="0" w:tplc="1302703E">
      <w:start w:val="1"/>
      <w:numFmt w:val="upperLetter"/>
      <w:lvlText w:val="%1."/>
      <w:lvlJc w:val="left"/>
      <w:pPr>
        <w:ind w:left="360" w:hanging="360"/>
      </w:pPr>
      <w:rPr>
        <w:b/>
        <w:color w:val="0064A3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FE6352"/>
    <w:multiLevelType w:val="hybridMultilevel"/>
    <w:tmpl w:val="4588E4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64A3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D92DF2"/>
    <w:multiLevelType w:val="hybridMultilevel"/>
    <w:tmpl w:val="D62870FE"/>
    <w:lvl w:ilvl="0" w:tplc="5A166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4A3"/>
      </w:rPr>
    </w:lvl>
    <w:lvl w:ilvl="1" w:tplc="09C8BC1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64A3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CB2E86"/>
    <w:multiLevelType w:val="hybridMultilevel"/>
    <w:tmpl w:val="EE085E2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64A3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B268AE"/>
    <w:multiLevelType w:val="hybridMultilevel"/>
    <w:tmpl w:val="4588E4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64A3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191"/>
    <w:rsid w:val="00013297"/>
    <w:rsid w:val="00020098"/>
    <w:rsid w:val="000830DD"/>
    <w:rsid w:val="000C2A1B"/>
    <w:rsid w:val="001161DB"/>
    <w:rsid w:val="0016616D"/>
    <w:rsid w:val="001F6911"/>
    <w:rsid w:val="0021784F"/>
    <w:rsid w:val="00300DA1"/>
    <w:rsid w:val="00316191"/>
    <w:rsid w:val="003737D1"/>
    <w:rsid w:val="00403037"/>
    <w:rsid w:val="0044119D"/>
    <w:rsid w:val="00497000"/>
    <w:rsid w:val="00571FF6"/>
    <w:rsid w:val="005912CD"/>
    <w:rsid w:val="00603D88"/>
    <w:rsid w:val="00633D7B"/>
    <w:rsid w:val="006F3D0C"/>
    <w:rsid w:val="00767936"/>
    <w:rsid w:val="008F4CEA"/>
    <w:rsid w:val="00914E59"/>
    <w:rsid w:val="00950A31"/>
    <w:rsid w:val="009632EF"/>
    <w:rsid w:val="009F3B21"/>
    <w:rsid w:val="00A0730F"/>
    <w:rsid w:val="00A13E1E"/>
    <w:rsid w:val="00A46D5B"/>
    <w:rsid w:val="00AE31A5"/>
    <w:rsid w:val="00B46542"/>
    <w:rsid w:val="00BD6CF8"/>
    <w:rsid w:val="00C93C8D"/>
    <w:rsid w:val="00CD3D26"/>
    <w:rsid w:val="00D6449C"/>
    <w:rsid w:val="00D724B4"/>
    <w:rsid w:val="00E158BF"/>
    <w:rsid w:val="00E54B93"/>
    <w:rsid w:val="00E62F5D"/>
    <w:rsid w:val="00E82E49"/>
    <w:rsid w:val="00EE66E4"/>
    <w:rsid w:val="00F11F83"/>
    <w:rsid w:val="00F303C7"/>
    <w:rsid w:val="00F41A9E"/>
    <w:rsid w:val="00F71B44"/>
    <w:rsid w:val="00FD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A8B0F7F"/>
  <w14:defaultImageDpi w14:val="32767"/>
  <w15:chartTrackingRefBased/>
  <w15:docId w15:val="{D270B977-C865-004A-AEFD-A12331C9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4B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6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6191"/>
    <w:rPr>
      <w:rFonts w:ascii="Times New Roman" w:hAnsi="Times New Roman" w:cs="Times New Roman"/>
      <w:sz w:val="2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191"/>
    <w:rPr>
      <w:rFonts w:ascii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nhideWhenUsed/>
    <w:rsid w:val="003161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191"/>
  </w:style>
  <w:style w:type="paragraph" w:styleId="Footer">
    <w:name w:val="footer"/>
    <w:basedOn w:val="Normal"/>
    <w:link w:val="FooterChar"/>
    <w:uiPriority w:val="99"/>
    <w:unhideWhenUsed/>
    <w:qFormat/>
    <w:rsid w:val="003161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191"/>
  </w:style>
  <w:style w:type="paragraph" w:styleId="ListParagraph">
    <w:name w:val="List Paragraph"/>
    <w:basedOn w:val="Normal"/>
    <w:uiPriority w:val="34"/>
    <w:qFormat/>
    <w:rsid w:val="00316191"/>
    <w:pPr>
      <w:spacing w:line="252" w:lineRule="auto"/>
      <w:ind w:left="708"/>
    </w:pPr>
    <w:rPr>
      <w:rFonts w:ascii="Cambria" w:eastAsia="Batang" w:hAnsi="Cambria" w:cs="Times New Roman"/>
      <w:sz w:val="20"/>
      <w:lang w:val="sk-SK" w:eastAsia="ko-KR"/>
    </w:rPr>
  </w:style>
  <w:style w:type="character" w:styleId="Hyperlink">
    <w:name w:val="Hyperlink"/>
    <w:basedOn w:val="DefaultParagraphFont"/>
    <w:rsid w:val="00316191"/>
    <w:rPr>
      <w:color w:val="0563C1" w:themeColor="hyperlink"/>
      <w:u w:val="single"/>
    </w:rPr>
  </w:style>
  <w:style w:type="character" w:styleId="PageNumber">
    <w:name w:val="page number"/>
    <w:unhideWhenUsed/>
    <w:qFormat/>
    <w:rsid w:val="00316191"/>
    <w:rPr>
      <w:rFonts w:ascii="Cambria" w:hAnsi="Cambria"/>
      <w:color w:val="3434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CTYWSUCD3UHA-2032434865-131</_dlc_DocId>
    <_dlc_DocIdUrl xmlns="af457a4c-de28-4d38-bda9-e56a61b168cd">
      <Url>https://sp1.prod.metais.local/governance-a-delivery/_layouts/15/DocIdRedir.aspx?ID=CTYWSUCD3UHA-2032434865-131</Url>
      <Description>CTYWSUCD3UHA-2032434865-131</Description>
    </_dlc_DocIdUrl>
  </documentManagement>
</p:properties>
</file>

<file path=customXml/itemProps1.xml><?xml version="1.0" encoding="utf-8"?>
<ds:datastoreItem xmlns:ds="http://schemas.openxmlformats.org/officeDocument/2006/customXml" ds:itemID="{788E99B3-E7F5-4078-991A-170123DA0C65}"/>
</file>

<file path=customXml/itemProps2.xml><?xml version="1.0" encoding="utf-8"?>
<ds:datastoreItem xmlns:ds="http://schemas.openxmlformats.org/officeDocument/2006/customXml" ds:itemID="{6449D08C-E402-4E87-8DF2-57EF6F366427}"/>
</file>

<file path=customXml/itemProps3.xml><?xml version="1.0" encoding="utf-8"?>
<ds:datastoreItem xmlns:ds="http://schemas.openxmlformats.org/officeDocument/2006/customXml" ds:itemID="{FEADA443-4F3D-429D-ADCB-7004A33351AF}"/>
</file>

<file path=customXml/itemProps4.xml><?xml version="1.0" encoding="utf-8"?>
<ds:datastoreItem xmlns:ds="http://schemas.openxmlformats.org/officeDocument/2006/customXml" ds:itemID="{E5AEBF42-7A88-4E94-A4F7-45CFE68880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Fitoš</dc:creator>
  <cp:keywords/>
  <dc:description/>
  <cp:lastModifiedBy>Emil Fitoš</cp:lastModifiedBy>
  <cp:revision>3</cp:revision>
  <dcterms:created xsi:type="dcterms:W3CDTF">2018-04-15T16:33:00Z</dcterms:created>
  <dcterms:modified xsi:type="dcterms:W3CDTF">2018-04-15T20:10:00Z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0x010100F2E7A19F665C0F40B7C6DA9795DBB073</vt:lpwstr>
  </property>
  <property fmtid="{D5CDD505-2E9C-101B-9397-08002B2CF9AE}" pid="3" name="_dlc_DocIdItemGuid">
    <vt:lpwstr>2ba835ca-7ed0-4871-8ccf-817de8d71961</vt:lpwstr>
  </property>
</Properties>
</file>