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545" w:rsidRDefault="00762556" w:rsidP="00762556">
      <w:pPr>
        <w:pStyle w:val="ListParagraph"/>
        <w:numPr>
          <w:ilvl w:val="0"/>
          <w:numId w:val="1"/>
        </w:numPr>
      </w:pPr>
      <w:r>
        <w:t xml:space="preserve">Aké sú </w:t>
      </w:r>
      <w:r w:rsidRPr="00762556">
        <w:t>princípy na základe ktorých</w:t>
      </w:r>
      <w:r>
        <w:t xml:space="preserve"> by mal UPPVII </w:t>
      </w:r>
      <w:r w:rsidRPr="00762556">
        <w:t xml:space="preserve">rozhodovať, ci niečo </w:t>
      </w:r>
      <w:r>
        <w:t>označí</w:t>
      </w:r>
      <w:r w:rsidRPr="00762556">
        <w:t xml:space="preserve"> ako kritickú infraštruktúru, alebo nie</w:t>
      </w:r>
      <w:r>
        <w:t>?</w:t>
      </w:r>
    </w:p>
    <w:p w:rsidR="00762556" w:rsidRDefault="00762556" w:rsidP="00762556">
      <w:pPr>
        <w:ind w:left="360"/>
      </w:pPr>
      <w:r>
        <w:t xml:space="preserve">Zaradenie prvku do kritickej infraštruktúry schvaľuje vláda, na návrh, ktorý predkladá MVSR v spolupráci s príslušným gestorom sektora kritickej infraštruktúry, ktorý odporučí zaradenie tohto prvku do KI (napr. ISVS má stále podľa platnej legislatívy v </w:t>
      </w:r>
      <w:proofErr w:type="spellStart"/>
      <w:r>
        <w:t>gestorstve</w:t>
      </w:r>
      <w:proofErr w:type="spellEnd"/>
      <w:r>
        <w:t xml:space="preserve"> MFSR, ak to chceme mať na starosti my, je potrebná zmena zákona o kritickej infraštruktúre).</w:t>
      </w:r>
    </w:p>
    <w:p w:rsidR="00762556" w:rsidRDefault="00762556" w:rsidP="00762556">
      <w:pPr>
        <w:ind w:left="360"/>
      </w:pPr>
      <w:r>
        <w:t xml:space="preserve">Kritériá a limity na zaraďovanie prvku do kritickej infraštruktúry schvaľuje vláda SR a sú v režime VYHRADENÉ, podobne aj viaceré iné informácie. </w:t>
      </w:r>
    </w:p>
    <w:p w:rsidR="00762556" w:rsidRDefault="00762556" w:rsidP="00762556">
      <w:pPr>
        <w:ind w:left="360"/>
      </w:pPr>
      <w:r>
        <w:t>V zásade, prvky do kritickej infraštruktúry by nemali byť zaraďovane na princípe „chcem“, ale na princípe, že daný prvok je kriticky(je nevyhnutný) z pohľadu niektorej z kritických činnosti štátu (napríklad výber dani, vyplácanie dôchodkov, prenos elektriny, alebo zabezpečenie bezpečnosti a verejného poriadku, platobný styk ....), alebo  jeho narušením / poškodením / zneužitím by preto došlo k veľkej škode na živote, majetku alebo životnom prostredí (vyraďovanie jadrového odpadu, správa priehrad a podobne). Preto, aby bolo toto možné, bolo by potrebné vypracovať  podrobnú analýzu činnosti štátu a vyplývajúcich rizík.  Z tejto analýzy by automaticky takéto prvky mali vyplynúť (to by aj mal byt princíp na základe, ktorého sa prvky budú zaradovať do zoznamu ale aj vyraďovať). Vláda schvaľuje koncepciu kritickej infraštruktúry. Prvky, ktoré budú v kritickej infraštruktúre musia spĺňať bezpečnostne podmienky, musia byť pravidelne kontrolované a musí pravidelne prebiehať analýza, či máme všetky prvky a či nemáme niektoré prvky navyše (napríklad s X-ročnou periodicitou)</w:t>
      </w:r>
    </w:p>
    <w:p w:rsidR="00762556" w:rsidRDefault="00762556" w:rsidP="00762556">
      <w:pPr>
        <w:pStyle w:val="ListParagraph"/>
        <w:numPr>
          <w:ilvl w:val="0"/>
          <w:numId w:val="1"/>
        </w:numPr>
      </w:pPr>
      <w:r>
        <w:t xml:space="preserve">Čo je potrebné </w:t>
      </w:r>
      <w:r w:rsidRPr="00762556">
        <w:t>upraviť v legislatíve a</w:t>
      </w:r>
      <w:r>
        <w:t xml:space="preserve"> iných </w:t>
      </w:r>
      <w:r w:rsidRPr="00762556">
        <w:t>normách</w:t>
      </w:r>
      <w:r>
        <w:t xml:space="preserve"> </w:t>
      </w:r>
      <w:r w:rsidRPr="00762556">
        <w:t>/</w:t>
      </w:r>
      <w:r>
        <w:t xml:space="preserve"> </w:t>
      </w:r>
      <w:r w:rsidRPr="00762556">
        <w:t>metodikách</w:t>
      </w:r>
      <w:r>
        <w:t xml:space="preserve"> </w:t>
      </w:r>
      <w:r w:rsidRPr="00762556">
        <w:t>/</w:t>
      </w:r>
      <w:r>
        <w:t xml:space="preserve"> </w:t>
      </w:r>
      <w:r w:rsidRPr="00762556">
        <w:t>predpisoch</w:t>
      </w:r>
      <w:r>
        <w:t xml:space="preserve"> </w:t>
      </w:r>
      <w:r w:rsidRPr="00762556">
        <w:t>/</w:t>
      </w:r>
      <w:r>
        <w:t xml:space="preserve"> </w:t>
      </w:r>
      <w:r w:rsidRPr="00762556">
        <w:t>usmerneniach</w:t>
      </w:r>
      <w:r>
        <w:t xml:space="preserve"> </w:t>
      </w:r>
      <w:r w:rsidRPr="00762556">
        <w:t>/</w:t>
      </w:r>
      <w:r>
        <w:t xml:space="preserve"> atď. aby ÚPVII mal </w:t>
      </w:r>
      <w:r w:rsidRPr="00762556">
        <w:t>aj voči takejto infraštruktúre</w:t>
      </w:r>
      <w:r>
        <w:t xml:space="preserve"> dostatočné </w:t>
      </w:r>
      <w:r w:rsidRPr="00762556">
        <w:t>právomoci</w:t>
      </w:r>
      <w:r>
        <w:t>?</w:t>
      </w:r>
    </w:p>
    <w:p w:rsidR="00762556" w:rsidRPr="00762556" w:rsidRDefault="00762556" w:rsidP="00762556">
      <w:pPr>
        <w:spacing w:before="100" w:beforeAutospacing="1" w:after="100" w:afterAutospacing="1" w:line="240" w:lineRule="auto"/>
        <w:ind w:left="360"/>
        <w:rPr>
          <w:rFonts w:ascii="Times New Roman" w:eastAsia="Times New Roman" w:hAnsi="Times New Roman" w:cs="Times New Roman"/>
          <w:sz w:val="24"/>
          <w:szCs w:val="24"/>
          <w:lang w:eastAsia="sk-SK"/>
        </w:rPr>
      </w:pPr>
      <w:r w:rsidRPr="00762556">
        <w:rPr>
          <w:rFonts w:ascii="Calibri" w:eastAsia="Times New Roman" w:hAnsi="Calibri" w:cs="Times New Roman"/>
          <w:color w:val="FF0000"/>
          <w:lang w:eastAsia="sk-SK"/>
        </w:rPr>
        <w:t xml:space="preserve">Úplný základ je </w:t>
      </w:r>
      <w:r w:rsidRPr="00762556">
        <w:rPr>
          <w:rFonts w:ascii="Calibri" w:eastAsia="Times New Roman" w:hAnsi="Calibri" w:cs="Times New Roman"/>
          <w:b/>
          <w:bCs/>
          <w:color w:val="FF0000"/>
          <w:lang w:eastAsia="sk-SK"/>
        </w:rPr>
        <w:t xml:space="preserve">zmena zákona č. 45/2011 </w:t>
      </w:r>
      <w:r w:rsidRPr="00762556">
        <w:rPr>
          <w:rFonts w:ascii="Calibri" w:eastAsia="Times New Roman" w:hAnsi="Calibri" w:cs="Times New Roman"/>
          <w:b/>
          <w:bCs/>
          <w:lang w:eastAsia="sk-SK"/>
        </w:rPr>
        <w:t>– zmena gestora sektora č. 4</w:t>
      </w:r>
      <w:r w:rsidRPr="00762556">
        <w:rPr>
          <w:rFonts w:ascii="Calibri" w:eastAsia="Times New Roman" w:hAnsi="Calibri" w:cs="Times New Roman"/>
          <w:lang w:eastAsia="sk-SK"/>
        </w:rPr>
        <w:t xml:space="preserve"> </w:t>
      </w:r>
      <w:r w:rsidRPr="00762556">
        <w:rPr>
          <w:rFonts w:ascii="Calibri" w:eastAsia="Times New Roman" w:hAnsi="Calibri" w:cs="Times New Roman"/>
          <w:b/>
          <w:bCs/>
          <w:lang w:eastAsia="sk-SK"/>
        </w:rPr>
        <w:t>v časti Informačné systémy</w:t>
      </w:r>
      <w:r w:rsidRPr="00762556">
        <w:rPr>
          <w:rFonts w:ascii="Calibri" w:eastAsia="Times New Roman" w:hAnsi="Calibri" w:cs="Times New Roman"/>
          <w:lang w:eastAsia="sk-SK"/>
        </w:rPr>
        <w:t xml:space="preserve"> (IKT – viď tabuľku). Prvky KI v časti </w:t>
      </w:r>
      <w:r w:rsidRPr="00762556">
        <w:rPr>
          <w:rFonts w:ascii="Calibri" w:eastAsia="Times New Roman" w:hAnsi="Calibri" w:cs="Times New Roman"/>
          <w:b/>
          <w:bCs/>
          <w:lang w:eastAsia="sk-SK"/>
        </w:rPr>
        <w:t>Interne</w:t>
      </w:r>
      <w:r w:rsidRPr="00762556">
        <w:rPr>
          <w:rFonts w:ascii="Calibri" w:eastAsia="Times New Roman" w:hAnsi="Calibri" w:cs="Times New Roman"/>
          <w:lang w:eastAsia="sk-SK"/>
        </w:rPr>
        <w:t>t by mali prejsť na NBU ktoré je ústredným orgánom pre kybernetickú bezpečnosť.</w:t>
      </w:r>
      <w:r>
        <w:rPr>
          <w:rFonts w:ascii="Calibri" w:eastAsia="Times New Roman" w:hAnsi="Calibri" w:cs="Times New Roman"/>
          <w:lang w:eastAsia="sk-SK"/>
        </w:rPr>
        <w:t xml:space="preserve"> </w:t>
      </w:r>
      <w:r w:rsidRPr="00762556">
        <w:rPr>
          <w:rFonts w:ascii="Calibri" w:eastAsia="Times New Roman" w:hAnsi="Calibri" w:cs="Times New Roman"/>
          <w:lang w:eastAsia="sk-SK"/>
        </w:rPr>
        <w:t xml:space="preserve">Upozorňujem, že návrh zákona o kybernetickej bezpečnosti navrhuje </w:t>
      </w:r>
      <w:r w:rsidRPr="00762556">
        <w:rPr>
          <w:rFonts w:ascii="Calibri" w:eastAsia="Times New Roman" w:hAnsi="Calibri" w:cs="Times New Roman"/>
          <w:b/>
          <w:bCs/>
          <w:lang w:eastAsia="sk-SK"/>
        </w:rPr>
        <w:t>presun kompetencie na NBU</w:t>
      </w:r>
      <w:r w:rsidRPr="00762556">
        <w:rPr>
          <w:rFonts w:ascii="Calibri" w:eastAsia="Times New Roman" w:hAnsi="Calibri" w:cs="Times New Roman"/>
          <w:lang w:eastAsia="sk-SK"/>
        </w:rPr>
        <w:t xml:space="preserve">, nie na </w:t>
      </w:r>
      <w:r>
        <w:rPr>
          <w:rFonts w:ascii="Calibri" w:eastAsia="Times New Roman" w:hAnsi="Calibri" w:cs="Times New Roman"/>
          <w:lang w:eastAsia="sk-SK"/>
        </w:rPr>
        <w:t xml:space="preserve">UPPVII, </w:t>
      </w:r>
      <w:r w:rsidRPr="00762556">
        <w:rPr>
          <w:rFonts w:ascii="Calibri" w:eastAsia="Times New Roman" w:hAnsi="Calibri" w:cs="Times New Roman"/>
          <w:lang w:eastAsia="sk-SK"/>
        </w:rPr>
        <w:t>takže sa musíme rozhodnúť</w:t>
      </w:r>
      <w:r>
        <w:rPr>
          <w:rFonts w:ascii="Calibri" w:eastAsia="Times New Roman" w:hAnsi="Calibri" w:cs="Times New Roman"/>
          <w:lang w:eastAsia="sk-SK"/>
        </w:rPr>
        <w:t xml:space="preserve"> na PS</w:t>
      </w:r>
      <w:r w:rsidRPr="00762556">
        <w:rPr>
          <w:rFonts w:ascii="Calibri" w:eastAsia="Times New Roman" w:hAnsi="Calibri" w:cs="Times New Roman"/>
          <w:lang w:eastAsia="sk-SK"/>
        </w:rPr>
        <w:t xml:space="preserve">, či to chceme, a ak áno, treba túto informáciu posunúť na NBU, mohli by to dodatočne zapracovať pri vypriadavaní pripomienok v MPK. </w:t>
      </w:r>
    </w:p>
    <w:p w:rsidR="00762556" w:rsidRPr="00762556" w:rsidRDefault="00762556" w:rsidP="00762556">
      <w:pPr>
        <w:pStyle w:val="ListParagraph"/>
        <w:shd w:val="clear" w:color="auto" w:fill="FFFFFF"/>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b/>
          <w:bCs/>
          <w:lang w:eastAsia="sk-SK"/>
        </w:rPr>
        <w:t>SEKTORY V PÔSOBNOSTI ÚSTREDNÝCH ORGÁNOV</w:t>
      </w:r>
    </w:p>
    <w:tbl>
      <w:tblPr>
        <w:tblW w:w="114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4"/>
        <w:gridCol w:w="4776"/>
        <w:gridCol w:w="4420"/>
      </w:tblGrid>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b/>
                <w:bCs/>
                <w:lang w:eastAsia="sk-SK"/>
              </w:rPr>
              <w:t>Sektor</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b/>
                <w:bCs/>
                <w:lang w:eastAsia="sk-SK"/>
              </w:rPr>
              <w:t>Podsektor</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b/>
                <w:bCs/>
                <w:lang w:eastAsia="sk-SK"/>
              </w:rPr>
              <w:t>Ústredný orgán</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1. Doprava</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Cestná doprava</w:t>
            </w:r>
            <w:r w:rsidRPr="00762556">
              <w:rPr>
                <w:rFonts w:ascii="Calibri" w:eastAsia="Times New Roman" w:hAnsi="Calibri" w:cs="Times New Roman"/>
                <w:lang w:eastAsia="sk-SK"/>
              </w:rPr>
              <w:br/>
              <w:t>Letecká doprava</w:t>
            </w:r>
            <w:r w:rsidRPr="00762556">
              <w:rPr>
                <w:rFonts w:ascii="Calibri" w:eastAsia="Times New Roman" w:hAnsi="Calibri" w:cs="Times New Roman"/>
                <w:lang w:eastAsia="sk-SK"/>
              </w:rPr>
              <w:br/>
              <w:t>Vodná doprava</w:t>
            </w:r>
            <w:r w:rsidRPr="00762556">
              <w:rPr>
                <w:rFonts w:ascii="Calibri" w:eastAsia="Times New Roman" w:hAnsi="Calibri" w:cs="Times New Roman"/>
                <w:lang w:eastAsia="sk-SK"/>
              </w:rPr>
              <w:br/>
              <w:t>Železničná doprava</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dopravy, výstavby a regionálneho rozvoja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2. Elektronické komunikácie</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Satelitná komunikácia</w:t>
            </w:r>
            <w:r w:rsidRPr="00762556">
              <w:rPr>
                <w:rFonts w:ascii="Calibri" w:eastAsia="Times New Roman" w:hAnsi="Calibri" w:cs="Times New Roman"/>
                <w:lang w:eastAsia="sk-SK"/>
              </w:rPr>
              <w:br/>
              <w:t> </w:t>
            </w:r>
            <w:r w:rsidRPr="00762556">
              <w:rPr>
                <w:rFonts w:ascii="Calibri" w:eastAsia="Times New Roman" w:hAnsi="Calibri" w:cs="Times New Roman"/>
                <w:lang w:eastAsia="sk-SK"/>
              </w:rPr>
              <w:br/>
              <w:t>Siete a služby pevných a mobilných elektronických komunikácií</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dopravy, výstavby a regionálneho rozvoja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3. Energetika</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Baníctvo</w:t>
            </w:r>
            <w:r w:rsidRPr="00762556">
              <w:rPr>
                <w:rFonts w:ascii="Calibri" w:eastAsia="Times New Roman" w:hAnsi="Calibri" w:cs="Times New Roman"/>
                <w:lang w:eastAsia="sk-SK"/>
              </w:rPr>
              <w:br/>
            </w:r>
            <w:proofErr w:type="spellStart"/>
            <w:r w:rsidRPr="00762556">
              <w:rPr>
                <w:rFonts w:ascii="Calibri" w:eastAsia="Times New Roman" w:hAnsi="Calibri" w:cs="Times New Roman"/>
                <w:lang w:eastAsia="sk-SK"/>
              </w:rPr>
              <w:t>Elektroenergetika</w:t>
            </w:r>
            <w:proofErr w:type="spellEnd"/>
            <w:r w:rsidRPr="00762556">
              <w:rPr>
                <w:rFonts w:ascii="Calibri" w:eastAsia="Times New Roman" w:hAnsi="Calibri" w:cs="Times New Roman"/>
                <w:lang w:eastAsia="sk-SK"/>
              </w:rPr>
              <w:br/>
              <w:t>Plynárenstvo</w:t>
            </w:r>
            <w:r w:rsidRPr="00762556">
              <w:rPr>
                <w:rFonts w:ascii="Calibri" w:eastAsia="Times New Roman" w:hAnsi="Calibri" w:cs="Times New Roman"/>
                <w:lang w:eastAsia="sk-SK"/>
              </w:rPr>
              <w:br/>
              <w:t>Ropa a ropné produkty</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hospodárstva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shd w:val="clear" w:color="auto" w:fill="FFFF00"/>
                <w:lang w:eastAsia="sk-SK"/>
              </w:rPr>
              <w:lastRenderedPageBreak/>
              <w:t>4. Informačné a komunikačné</w:t>
            </w:r>
            <w:r w:rsidRPr="00762556">
              <w:rPr>
                <w:rFonts w:ascii="Calibri" w:eastAsia="Times New Roman" w:hAnsi="Calibri" w:cs="Times New Roman"/>
                <w:shd w:val="clear" w:color="auto" w:fill="FFFF00"/>
                <w:lang w:eastAsia="sk-SK"/>
              </w:rPr>
              <w:br/>
              <w:t>    technológie</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shd w:val="clear" w:color="auto" w:fill="FFFF00"/>
                <w:lang w:eastAsia="sk-SK"/>
              </w:rPr>
              <w:t>Informačné systémy a siete</w:t>
            </w:r>
            <w:r w:rsidRPr="00762556">
              <w:rPr>
                <w:rFonts w:ascii="Calibri" w:eastAsia="Times New Roman" w:hAnsi="Calibri" w:cs="Times New Roman"/>
                <w:shd w:val="clear" w:color="auto" w:fill="FFFF00"/>
                <w:lang w:eastAsia="sk-SK"/>
              </w:rPr>
              <w:br/>
              <w:t> </w:t>
            </w:r>
            <w:r w:rsidRPr="00762556">
              <w:rPr>
                <w:rFonts w:ascii="Calibri" w:eastAsia="Times New Roman" w:hAnsi="Calibri" w:cs="Times New Roman"/>
                <w:shd w:val="clear" w:color="auto" w:fill="FFFF00"/>
                <w:lang w:eastAsia="sk-SK"/>
              </w:rPr>
              <w:br/>
            </w:r>
            <w:r w:rsidRPr="00762556">
              <w:rPr>
                <w:rFonts w:ascii="Calibri" w:eastAsia="Times New Roman" w:hAnsi="Calibri" w:cs="Times New Roman"/>
                <w:lang w:eastAsia="sk-SK"/>
              </w:rPr>
              <w:t>Internet</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shd w:val="clear" w:color="auto" w:fill="FFFF00"/>
                <w:lang w:eastAsia="sk-SK"/>
              </w:rPr>
              <w:t>Ministerstvo financií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5. Pošta</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Poskytovanie poštových služieb, poštový platobný styk a obstarávateľská činnosť</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dopravy, výstavby a regionálneho rozvoja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6. Priemysel</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Farmaceutický priemysel</w:t>
            </w:r>
            <w:r w:rsidRPr="00762556">
              <w:rPr>
                <w:rFonts w:ascii="Calibri" w:eastAsia="Times New Roman" w:hAnsi="Calibri" w:cs="Times New Roman"/>
                <w:lang w:eastAsia="sk-SK"/>
              </w:rPr>
              <w:br/>
              <w:t>Hutnícky priemysel</w:t>
            </w:r>
            <w:r w:rsidRPr="00762556">
              <w:rPr>
                <w:rFonts w:ascii="Calibri" w:eastAsia="Times New Roman" w:hAnsi="Calibri" w:cs="Times New Roman"/>
                <w:lang w:eastAsia="sk-SK"/>
              </w:rPr>
              <w:br/>
              <w:t>Chemický priemysel</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hospodárstva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7. Voda a atmosféra</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Meteorologická služba</w:t>
            </w:r>
            <w:r w:rsidRPr="00762556">
              <w:rPr>
                <w:rFonts w:ascii="Calibri" w:eastAsia="Times New Roman" w:hAnsi="Calibri" w:cs="Times New Roman"/>
                <w:lang w:eastAsia="sk-SK"/>
              </w:rPr>
              <w:br/>
              <w:t>Vodné stavby</w:t>
            </w:r>
            <w:r w:rsidRPr="00762556">
              <w:rPr>
                <w:rFonts w:ascii="Calibri" w:eastAsia="Times New Roman" w:hAnsi="Calibri" w:cs="Times New Roman"/>
                <w:lang w:eastAsia="sk-SK"/>
              </w:rPr>
              <w:br/>
              <w:t>Zabezpečovanie pitnej vody</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životného prostredia Slovenskej republiky</w:t>
            </w:r>
          </w:p>
        </w:tc>
      </w:tr>
      <w:tr w:rsidR="00762556" w:rsidRPr="00762556" w:rsidTr="00762556">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8. Zdravotníctvo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 </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762556" w:rsidRPr="00762556" w:rsidRDefault="00762556" w:rsidP="00762556">
            <w:pPr>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lang w:eastAsia="sk-SK"/>
              </w:rPr>
              <w:t>Ministerstvo zdravotníctva Slovenskej republiky</w:t>
            </w:r>
          </w:p>
        </w:tc>
      </w:tr>
    </w:tbl>
    <w:p w:rsidR="00762556" w:rsidRPr="00762556" w:rsidRDefault="00762556" w:rsidP="00762556">
      <w:pPr>
        <w:pStyle w:val="ListParagraph"/>
        <w:shd w:val="clear" w:color="auto" w:fill="FFFFFF"/>
        <w:spacing w:before="100" w:beforeAutospacing="1" w:after="100" w:afterAutospacing="1" w:line="240" w:lineRule="auto"/>
        <w:rPr>
          <w:rFonts w:ascii="Times New Roman" w:eastAsia="Times New Roman" w:hAnsi="Times New Roman" w:cs="Times New Roman"/>
          <w:sz w:val="24"/>
          <w:szCs w:val="24"/>
          <w:lang w:eastAsia="sk-SK"/>
        </w:rPr>
      </w:pPr>
      <w:r w:rsidRPr="00762556">
        <w:rPr>
          <w:rFonts w:ascii="Calibri" w:eastAsia="Times New Roman" w:hAnsi="Calibri" w:cs="Times New Roman"/>
          <w:b/>
          <w:bCs/>
          <w:lang w:eastAsia="sk-SK"/>
        </w:rPr>
        <w:t> </w:t>
      </w:r>
    </w:p>
    <w:p w:rsidR="00762556" w:rsidRDefault="00762556" w:rsidP="00762556">
      <w:pPr>
        <w:spacing w:before="100" w:beforeAutospacing="1" w:after="100" w:afterAutospacing="1" w:line="240" w:lineRule="auto"/>
        <w:rPr>
          <w:rFonts w:ascii="Calibri" w:eastAsia="Times New Roman" w:hAnsi="Calibri" w:cs="Times New Roman"/>
          <w:lang w:eastAsia="sk-SK"/>
        </w:rPr>
      </w:pPr>
      <w:r w:rsidRPr="00762556">
        <w:rPr>
          <w:rFonts w:ascii="Calibri" w:eastAsia="Times New Roman" w:hAnsi="Calibri" w:cs="Times New Roman"/>
          <w:lang w:eastAsia="sk-SK"/>
        </w:rPr>
        <w:t>Podľa nás bude treba spraviť metodiku pre prevádzkovateľov kritickej infraštruktúry, rozpracovať ich povinnosti, tiež metodiku zaradovania a vyraďovania prvkov do kritickej infraštruktúry v sektore IKT, metodiku zabezpečenia prvkov kritickej infraštruktúry z hľadiska informačnej bezpečnosti a prípadne usmernenie pre obstarávanie pre prvky KI.</w:t>
      </w:r>
    </w:p>
    <w:p w:rsidR="00762556" w:rsidRDefault="00762556" w:rsidP="00762556">
      <w:pPr>
        <w:pStyle w:val="ListParagraph"/>
        <w:numPr>
          <w:ilvl w:val="0"/>
          <w:numId w:val="1"/>
        </w:numPr>
        <w:spacing w:before="100" w:beforeAutospacing="1" w:after="100" w:afterAutospacing="1" w:line="240" w:lineRule="auto"/>
      </w:pPr>
      <w:r>
        <w:t>A</w:t>
      </w:r>
      <w:r w:rsidRPr="00762556">
        <w:t>ké kompetencie ma dnes UPPVII v súvislosti s vyhlasovaním KI a čo by sme museli zmeniť v zákonoch, aby sme boli my ti kompetentní rozhodovať čo je a čo</w:t>
      </w:r>
      <w:r>
        <w:t xml:space="preserve"> nie je KI?</w:t>
      </w:r>
    </w:p>
    <w:p w:rsidR="003B3A24" w:rsidRDefault="00762556" w:rsidP="003B3A24">
      <w:pPr>
        <w:spacing w:before="100" w:beforeAutospacing="1" w:after="100" w:afterAutospacing="1" w:line="240" w:lineRule="auto"/>
      </w:pPr>
      <w:r>
        <w:t>Dnes žiadne, nakoľko povinnosti zo zákona o kritickej infraštruktúre neboli delimitované dohodou o prechode práv a povinností z 1.júna 2016.</w:t>
      </w:r>
      <w:r>
        <w:t xml:space="preserve"> </w:t>
      </w:r>
      <w:r>
        <w:t>Potrebná zmena zákona č. 45/2011 o kritickej infraštruktúre.</w:t>
      </w:r>
      <w:r>
        <w:t xml:space="preserve"> </w:t>
      </w:r>
      <w:r>
        <w:t>Zo zákona o kritickej infraštruktúre vyplýva, že sektorový gestor má tieto právomoci (§ 6):</w:t>
      </w:r>
    </w:p>
    <w:p w:rsidR="003B3A24" w:rsidRDefault="00762556" w:rsidP="003B3A24">
      <w:pPr>
        <w:spacing w:before="100" w:beforeAutospacing="1" w:after="100" w:afterAutospacing="1" w:line="240" w:lineRule="auto"/>
      </w:pPr>
      <w:r>
        <w:t>a) vypracúva návrh sektorových kritérií a európskych sektorových kritérií, ktorý predkladá ministerstvu,</w:t>
      </w:r>
    </w:p>
    <w:p w:rsidR="003B3A24" w:rsidRDefault="00762556" w:rsidP="003B3A24">
      <w:pPr>
        <w:spacing w:before="100" w:beforeAutospacing="1" w:after="100" w:afterAutospacing="1" w:line="240" w:lineRule="auto"/>
      </w:pPr>
      <w:r>
        <w:t>b) uplatňuje postup podľa § 8 a vypracúva návrh na určenie prvku a jeho zaradenie do sektora, ako aj návrh na vyradenie prvku zo sektora, ktoré predkladá ministerstvu,</w:t>
      </w:r>
    </w:p>
    <w:p w:rsidR="003B3A24" w:rsidRDefault="00762556" w:rsidP="003B3A24">
      <w:pPr>
        <w:spacing w:before="100" w:beforeAutospacing="1" w:after="100" w:afterAutospacing="1" w:line="240" w:lineRule="auto"/>
      </w:pPr>
      <w:r>
        <w:t>c) oznamuje prevádzkovateľovi rozhodnutie o určení prvku a zaradení prvku do sektora, ako aj rozhodnutie o vyradení prvku zo sektora,</w:t>
      </w:r>
    </w:p>
    <w:p w:rsidR="003B3A24" w:rsidRDefault="00762556" w:rsidP="003B3A24">
      <w:pPr>
        <w:spacing w:before="100" w:beforeAutospacing="1" w:after="100" w:afterAutospacing="1" w:line="240" w:lineRule="auto"/>
      </w:pPr>
      <w:r>
        <w:t>d) prehodnocuje priebežne prvok podľa sektorových kritérií a prierezových kritérií a prvok európskej kritickej infraštruktúry podľa európskych sektorových kritérií a európskych prierezových kritérií,</w:t>
      </w:r>
    </w:p>
    <w:p w:rsidR="003B3A24" w:rsidRDefault="00762556" w:rsidP="003B3A24">
      <w:pPr>
        <w:spacing w:before="100" w:beforeAutospacing="1" w:after="100" w:afterAutospacing="1" w:line="240" w:lineRule="auto"/>
      </w:pPr>
      <w:r>
        <w:t>e) vypracúva analýzu rizík sektora a jej aktualizáciu, ktorú predkladá ministerstvu,</w:t>
      </w:r>
    </w:p>
    <w:p w:rsidR="003B3A24" w:rsidRDefault="00762556" w:rsidP="003B3A24">
      <w:pPr>
        <w:spacing w:before="100" w:beforeAutospacing="1" w:after="100" w:afterAutospacing="1" w:line="240" w:lineRule="auto"/>
      </w:pPr>
      <w:r>
        <w:t>f) vyjadruje sa písomne k bezpečnostnému plánu a jeho aktualizácii; oznamuje ministerstvu predĺženie lehoty na zavedenie bezpečnostného plánu,</w:t>
      </w:r>
    </w:p>
    <w:p w:rsidR="003B3A24" w:rsidRDefault="00762556" w:rsidP="003B3A24">
      <w:pPr>
        <w:spacing w:before="100" w:beforeAutospacing="1" w:after="100" w:afterAutospacing="1" w:line="240" w:lineRule="auto"/>
      </w:pPr>
      <w:r>
        <w:t>g) určuje v spolupráci s prevádzkovateľom rozsah citlivých informácií,</w:t>
      </w:r>
    </w:p>
    <w:p w:rsidR="003B3A24" w:rsidRDefault="00762556" w:rsidP="003B3A24">
      <w:pPr>
        <w:spacing w:before="100" w:beforeAutospacing="1" w:after="100" w:afterAutospacing="1" w:line="240" w:lineRule="auto"/>
      </w:pPr>
      <w:r>
        <w:t>h) určuje oprávnenú osobu,</w:t>
      </w:r>
    </w:p>
    <w:p w:rsidR="003B3A24" w:rsidRDefault="00762556" w:rsidP="003B3A24">
      <w:pPr>
        <w:spacing w:before="100" w:beforeAutospacing="1" w:after="100" w:afterAutospacing="1" w:line="240" w:lineRule="auto"/>
      </w:pPr>
      <w:r>
        <w:lastRenderedPageBreak/>
        <w:t>i) spravuje v elektronickej forme neverejný register prvkov v rozsahu podľa § 5 písm. j); oznamuje ministerstvu zmeny údajov v registri,</w:t>
      </w:r>
    </w:p>
    <w:p w:rsidR="003B3A24" w:rsidRDefault="00762556" w:rsidP="003B3A24">
      <w:pPr>
        <w:spacing w:before="100" w:beforeAutospacing="1" w:after="100" w:afterAutospacing="1" w:line="240" w:lineRule="auto"/>
      </w:pPr>
      <w:r>
        <w:t>j) vypracúva zameranie kontrolnej činnosti a kontroluje plnenie povinností prevádzkovateľa,</w:t>
      </w:r>
    </w:p>
    <w:p w:rsidR="003B3A24" w:rsidRDefault="00762556" w:rsidP="003B3A24">
      <w:pPr>
        <w:spacing w:before="100" w:beforeAutospacing="1" w:after="100" w:afterAutospacing="1" w:line="240" w:lineRule="auto"/>
      </w:pPr>
      <w:r>
        <w:t>k) predkladá ministerstvu súhrnnú správu o kontrole prevádzkovateľov do 31. marca nasledujúceho roku za predchádzajúci kalendárny rok,</w:t>
      </w:r>
    </w:p>
    <w:p w:rsidR="003B3A24" w:rsidRDefault="00762556" w:rsidP="003B3A24">
      <w:pPr>
        <w:spacing w:before="100" w:beforeAutospacing="1" w:after="100" w:afterAutospacing="1" w:line="240" w:lineRule="auto"/>
      </w:pPr>
      <w:r>
        <w:t xml:space="preserve">l) </w:t>
      </w:r>
      <w:proofErr w:type="spellStart"/>
      <w:r>
        <w:t>prejednáva</w:t>
      </w:r>
      <w:proofErr w:type="spellEnd"/>
      <w:r>
        <w:t xml:space="preserve"> priestupky a iné správne delikty,</w:t>
      </w:r>
    </w:p>
    <w:p w:rsidR="003B3A24" w:rsidRDefault="00762556" w:rsidP="003B3A24">
      <w:pPr>
        <w:spacing w:before="100" w:beforeAutospacing="1" w:after="100" w:afterAutospacing="1" w:line="240" w:lineRule="auto"/>
      </w:pPr>
      <w:r>
        <w:t>m) môže spolupracovať v rozsahu svojej pôsobnosti s obdobnou inštitúciou so sídlom v zahraničí.</w:t>
      </w:r>
    </w:p>
    <w:p w:rsidR="00762556" w:rsidRPr="00762556" w:rsidRDefault="00762556" w:rsidP="003B3A24">
      <w:pPr>
        <w:spacing w:before="100" w:beforeAutospacing="1" w:after="100" w:afterAutospacing="1" w:line="240" w:lineRule="auto"/>
      </w:pPr>
      <w:bookmarkStart w:id="0" w:name="_GoBack"/>
      <w:bookmarkEnd w:id="0"/>
      <w:r>
        <w:t>Ak toto nie je dostatočné a potrebujeme posilniť právomoci, musíme sa poradiť ohľadom možnej úpravy aj tejto časti zákona s MVSR, ktoré je gestorom toho zákona.</w:t>
      </w:r>
    </w:p>
    <w:p w:rsidR="00762556" w:rsidRDefault="00762556" w:rsidP="00762556">
      <w:pPr>
        <w:pStyle w:val="ListParagraph"/>
        <w:spacing w:before="100" w:beforeAutospacing="1" w:after="100" w:afterAutospacing="1" w:line="240" w:lineRule="auto"/>
        <w:ind w:left="360"/>
      </w:pPr>
    </w:p>
    <w:sectPr w:rsidR="00762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D189C"/>
    <w:multiLevelType w:val="hybridMultilevel"/>
    <w:tmpl w:val="046A9F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556"/>
    <w:rsid w:val="003B3A24"/>
    <w:rsid w:val="00537545"/>
    <w:rsid w:val="007625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9E3567-7219-46DD-B566-9B4CB765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556"/>
    <w:pPr>
      <w:ind w:left="720"/>
      <w:contextualSpacing/>
    </w:pPr>
  </w:style>
  <w:style w:type="paragraph" w:customStyle="1" w:styleId="xmsonormal">
    <w:name w:val="x_msonormal"/>
    <w:basedOn w:val="Normal"/>
    <w:rsid w:val="00762556"/>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CTYWSUCD3UHA-2087524665-190</_dlc_DocId>
    <_dlc_DocIdUrl xmlns="af457a4c-de28-4d38-bda9-e56a61b168cd">
      <Url>https://sp1.prod.metais.local/kyberneticka-bezpecnost/_layouts/15/DocIdRedir.aspx?ID=CTYWSUCD3UHA-2087524665-190</Url>
      <Description>CTYWSUCD3UHA-2087524665-190</Description>
    </_dlc_DocIdUrl>
  </documentManagement>
</p:properties>
</file>

<file path=customXml/itemProps1.xml><?xml version="1.0" encoding="utf-8"?>
<ds:datastoreItem xmlns:ds="http://schemas.openxmlformats.org/officeDocument/2006/customXml" ds:itemID="{7D52B377-0035-4429-95B6-598EC64D7017}"/>
</file>

<file path=customXml/itemProps2.xml><?xml version="1.0" encoding="utf-8"?>
<ds:datastoreItem xmlns:ds="http://schemas.openxmlformats.org/officeDocument/2006/customXml" ds:itemID="{EBF49A18-9343-4C00-81E7-2EEC8278FDF5}"/>
</file>

<file path=customXml/itemProps3.xml><?xml version="1.0" encoding="utf-8"?>
<ds:datastoreItem xmlns:ds="http://schemas.openxmlformats.org/officeDocument/2006/customXml" ds:itemID="{F36E98B2-9332-4A30-B517-5523AD3E7F05}"/>
</file>

<file path=customXml/itemProps4.xml><?xml version="1.0" encoding="utf-8"?>
<ds:datastoreItem xmlns:ds="http://schemas.openxmlformats.org/officeDocument/2006/customXml" ds:itemID="{F2019256-589C-4988-9387-C9EB0C37CA06}"/>
</file>

<file path=docProps/app.xml><?xml version="1.0" encoding="utf-8"?>
<Properties xmlns="http://schemas.openxmlformats.org/officeDocument/2006/extended-properties" xmlns:vt="http://schemas.openxmlformats.org/officeDocument/2006/docPropsVTypes">
  <Template>Normal</Template>
  <TotalTime>12</TotalTime>
  <Pages>3</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poliak</dc:creator>
  <cp:keywords/>
  <dc:description/>
  <cp:lastModifiedBy>peter poliak</cp:lastModifiedBy>
  <cp:revision>1</cp:revision>
  <dcterms:created xsi:type="dcterms:W3CDTF">2017-07-21T07:29:00Z</dcterms:created>
  <dcterms:modified xsi:type="dcterms:W3CDTF">2017-07-21T07:41:00Z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2d9e86b8-a714-4b78-8a8b-8d857510d3f4</vt:lpwstr>
  </property>
</Properties>
</file>